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400"/>
        <w:jc w:val="center"/>
      </w:pPr>
      <w:r>
        <w:rPr>
          <w:rFonts w:ascii="Georgia" w:cs="Georgia" w:eastAsia="Georgia" w:hAnsi="Georgia"/>
          <w:b/>
          <w:bCs/>
          <w:color w:val="1B2A4A"/>
          <w:sz w:val="52"/>
          <w:szCs w:val="52"/>
        </w:rPr>
        <w:t xml:space="preserve">DETAILED PROJECT REPORT</w:t>
      </w:r>
    </w:p>
    <w:p>
      <w:pPr>
        <w:spacing w:after="0" w:before="120"/>
        <w:jc w:val="center"/>
      </w:pPr>
      <w:r>
        <w:rPr>
          <w:rFonts w:ascii="Georgia" w:cs="Georgia" w:eastAsia="Georgia" w:hAnsi="Georgia"/>
          <w:b/>
          <w:bCs/>
          <w:color w:val="B8862E"/>
          <w:sz w:val="34"/>
          <w:szCs w:val="34"/>
        </w:rPr>
        <w:t xml:space="preserve">SRI SRI APARANJI AI DATA CENTRE CAMPUS</w:t>
      </w:r>
    </w:p>
    <w:p>
      <w:pPr>
        <w:spacing w:after="40" w:before="80"/>
        <w:jc w:val="center"/>
      </w:pPr>
      <w:r>
        <w:rPr>
          <w:rFonts w:ascii="Calibri" w:cs="Calibri" w:eastAsia="Calibri" w:hAnsi="Calibri"/>
          <w:i/>
          <w:iCs/>
          <w:color w:val="6E6E6E"/>
          <w:sz w:val="24"/>
          <w:szCs w:val="24"/>
        </w:rPr>
        <w:t xml:space="preserve">50 MW Phased Tier III+ AI-Ready Data Centre Campus</w:t>
      </w:r>
    </w:p>
    <w:p>
      <w:pPr>
        <w:spacing w:after="400" w:before="40"/>
        <w:jc w:val="center"/>
      </w:pPr>
      <w:r>
        <w:rPr>
          <w:rFonts w:ascii="Calibri" w:cs="Calibri" w:eastAsia="Calibri" w:hAnsi="Calibri"/>
          <w:color w:val="6E6E6E"/>
          <w:sz w:val="22"/>
          <w:szCs w:val="22"/>
        </w:rPr>
        <w:t xml:space="preserve">South Hyderabad, Telangana, India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8862E" w:sz="2"/>
              <w:left w:val="single" w:color="B8862E" w:sz="2"/>
              <w:bottom w:val="single" w:color="B8862E" w:sz="2"/>
              <w:right w:val="single" w:color="B8862E" w:sz="2"/>
            </w:tcBorders>
            <w:shd w:fill="F4E9D8" w:val="clear"/>
            <w:tcMar>
              <w:top w:type="dxa" w:w="160"/>
              <w:left w:type="dxa" w:w="120"/>
              <w:bottom w:type="dxa" w:w="160"/>
              <w:right w:type="dxa" w:w="120"/>
            </w:tcMar>
          </w:tcPr>
          <w:p>
            <w:pPr>
              <w:spacing w:after="40"/>
              <w:jc w:val="center"/>
            </w:pPr>
            <w:r>
              <w:rPr>
                <w:rFonts w:ascii="Georgia" w:cs="Georgia" w:eastAsia="Georgia" w:hAnsi="Georgia"/>
                <w:b/>
                <w:bCs/>
                <w:color w:val="1B2A4A"/>
                <w:sz w:val="26"/>
                <w:szCs w:val="26"/>
              </w:rPr>
              <w:t xml:space="preserve">INR 1,800 Cr</w:t>
            </w:r>
          </w:p>
          <w:p>
            <w:pPr>
              <w:jc w:val="center"/>
            </w:pPr>
            <w:r>
              <w:rPr>
                <w:rFonts w:ascii="Calibri" w:cs="Calibri" w:eastAsia="Calibri" w:hAnsi="Calibri"/>
                <w:color w:val="6E6E6E"/>
                <w:sz w:val="16"/>
                <w:szCs w:val="16"/>
              </w:rPr>
              <w:t xml:space="preserve">Total Investment (~USD 215M)</w:t>
            </w:r>
          </w:p>
        </w:tc>
        <w:tc>
          <w:tcPr>
            <w:tcW w:type="dxa" w:w="2340"/>
            <w:tcBorders>
              <w:top w:val="single" w:color="B8862E" w:sz="2"/>
              <w:left w:val="single" w:color="B8862E" w:sz="2"/>
              <w:bottom w:val="single" w:color="B8862E" w:sz="2"/>
              <w:right w:val="single" w:color="B8862E" w:sz="2"/>
            </w:tcBorders>
            <w:shd w:fill="F4E9D8" w:val="clear"/>
            <w:tcMar>
              <w:top w:type="dxa" w:w="160"/>
              <w:left w:type="dxa" w:w="120"/>
              <w:bottom w:type="dxa" w:w="160"/>
              <w:right w:type="dxa" w:w="120"/>
            </w:tcMar>
          </w:tcPr>
          <w:p>
            <w:pPr>
              <w:spacing w:after="40"/>
              <w:jc w:val="center"/>
            </w:pPr>
            <w:r>
              <w:rPr>
                <w:rFonts w:ascii="Georgia" w:cs="Georgia" w:eastAsia="Georgia" w:hAnsi="Georgia"/>
                <w:b/>
                <w:bCs/>
                <w:color w:val="1B2A4A"/>
                <w:sz w:val="26"/>
                <w:szCs w:val="26"/>
              </w:rPr>
              <w:t xml:space="preserve">50 Acres</w:t>
            </w:r>
          </w:p>
          <w:p>
            <w:pPr>
              <w:jc w:val="center"/>
            </w:pPr>
            <w:r>
              <w:rPr>
                <w:rFonts w:ascii="Calibri" w:cs="Calibri" w:eastAsia="Calibri" w:hAnsi="Calibri"/>
                <w:color w:val="6E6E6E"/>
                <w:sz w:val="16"/>
                <w:szCs w:val="16"/>
              </w:rPr>
              <w:t xml:space="preserve">Contiguous Land Parcel</w:t>
            </w:r>
          </w:p>
        </w:tc>
        <w:tc>
          <w:tcPr>
            <w:tcW w:type="dxa" w:w="2340"/>
            <w:tcBorders>
              <w:top w:val="single" w:color="B8862E" w:sz="2"/>
              <w:left w:val="single" w:color="B8862E" w:sz="2"/>
              <w:bottom w:val="single" w:color="B8862E" w:sz="2"/>
              <w:right w:val="single" w:color="B8862E" w:sz="2"/>
            </w:tcBorders>
            <w:shd w:fill="F4E9D8" w:val="clear"/>
            <w:tcMar>
              <w:top w:type="dxa" w:w="160"/>
              <w:left w:type="dxa" w:w="120"/>
              <w:bottom w:type="dxa" w:w="160"/>
              <w:right w:type="dxa" w:w="120"/>
            </w:tcMar>
          </w:tcPr>
          <w:p>
            <w:pPr>
              <w:spacing w:after="40"/>
              <w:jc w:val="center"/>
            </w:pPr>
            <w:r>
              <w:rPr>
                <w:rFonts w:ascii="Georgia" w:cs="Georgia" w:eastAsia="Georgia" w:hAnsi="Georgia"/>
                <w:b/>
                <w:bCs/>
                <w:color w:val="1B2A4A"/>
                <w:sz w:val="26"/>
                <w:szCs w:val="26"/>
              </w:rPr>
              <w:t xml:space="preserve">50 MW</w:t>
            </w:r>
          </w:p>
          <w:p>
            <w:pPr>
              <w:jc w:val="center"/>
            </w:pPr>
            <w:r>
              <w:rPr>
                <w:rFonts w:ascii="Calibri" w:cs="Calibri" w:eastAsia="Calibri" w:hAnsi="Calibri"/>
                <w:color w:val="6E6E6E"/>
                <w:sz w:val="16"/>
                <w:szCs w:val="16"/>
              </w:rPr>
              <w:t xml:space="preserve">Phased Total Capacity</w:t>
            </w:r>
          </w:p>
        </w:tc>
        <w:tc>
          <w:tcPr>
            <w:tcW w:type="dxa" w:w="2340"/>
            <w:tcBorders>
              <w:top w:val="single" w:color="B8862E" w:sz="2"/>
              <w:left w:val="single" w:color="B8862E" w:sz="2"/>
              <w:bottom w:val="single" w:color="B8862E" w:sz="2"/>
              <w:right w:val="single" w:color="B8862E" w:sz="2"/>
            </w:tcBorders>
            <w:shd w:fill="F4E9D8" w:val="clear"/>
            <w:tcMar>
              <w:top w:type="dxa" w:w="160"/>
              <w:left w:type="dxa" w:w="120"/>
              <w:bottom w:type="dxa" w:w="160"/>
              <w:right w:type="dxa" w:w="120"/>
            </w:tcMar>
          </w:tcPr>
          <w:p>
            <w:pPr>
              <w:spacing w:after="40"/>
              <w:jc w:val="center"/>
            </w:pPr>
            <w:r>
              <w:rPr>
                <w:rFonts w:ascii="Georgia" w:cs="Georgia" w:eastAsia="Georgia" w:hAnsi="Georgia"/>
                <w:b/>
                <w:bCs/>
                <w:color w:val="1B2A4A"/>
                <w:sz w:val="26"/>
                <w:szCs w:val="26"/>
              </w:rPr>
              <w:t xml:space="preserve">18-22%</w:t>
            </w:r>
          </w:p>
          <w:p>
            <w:pPr>
              <w:jc w:val="center"/>
            </w:pPr>
            <w:r>
              <w:rPr>
                <w:rFonts w:ascii="Calibri" w:cs="Calibri" w:eastAsia="Calibri" w:hAnsi="Calibri"/>
                <w:color w:val="6E6E6E"/>
                <w:sz w:val="16"/>
                <w:szCs w:val="16"/>
              </w:rPr>
              <w:t xml:space="preserve">Projected IRR</w:t>
            </w:r>
          </w:p>
        </w:tc>
      </w:tr>
    </w:tbl>
    <w:p>
      <w:pPr>
        <w:spacing w:after="300"/>
      </w:pPr>
    </w:p>
    <w:p>
      <w:pPr>
        <w:spacing w:after="40" w:before="200"/>
        <w:jc w:val="center"/>
      </w:pPr>
      <w:r>
        <w:rPr>
          <w:rFonts w:ascii="Calibri" w:cs="Calibri" w:eastAsia="Calibri" w:hAnsi="Calibri"/>
          <w:color w:val="6E6E6E"/>
          <w:sz w:val="19"/>
          <w:szCs w:val="19"/>
        </w:rPr>
        <w:t xml:space="preserve">Prepared: July 2026  |  Status: Confidential — Not for Public Distribution</w:t>
      </w:r>
    </w:p>
    <w:p>
      <w:pPr>
        <w:spacing w:after="0" w:before="0"/>
        <w:jc w:val="center"/>
      </w:pPr>
      <w:r>
        <w:rPr>
          <w:rFonts w:ascii="Calibri" w:cs="Calibri" w:eastAsia="Calibri" w:hAnsi="Calibri"/>
          <w:i/>
          <w:iCs/>
          <w:color w:val="6E6E6E"/>
          <w:sz w:val="19"/>
          <w:szCs w:val="19"/>
        </w:rPr>
        <w:t xml:space="preserve">Source Material: Sri Sri Aparanji AI Data Centre Campus — Strategic Investment Proposal</w:t>
      </w:r>
    </w:p>
    <w:p>
      <w:pPr>
        <w:spacing w:after="2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A1F1F" w:sz="4"/>
              <w:left w:val="single" w:color="8A1F1F" w:sz="4"/>
              <w:bottom w:val="single" w:color="8A1F1F" w:sz="4"/>
              <w:right w:val="single" w:color="8A1F1F" w:sz="4"/>
            </w:tcBorders>
            <w:shd w:fill="FBEAEA" w:val="clear"/>
            <w:tcMar>
              <w:top w:type="dxa" w:w="200"/>
              <w:left w:type="dxa" w:w="220"/>
              <w:bottom w:type="dxa" w:w="200"/>
              <w:right w:type="dxa" w:w="220"/>
            </w:tcMar>
          </w:tcPr>
          <w:p>
            <w:pPr>
              <w:spacing w:after="80"/>
            </w:pPr>
            <w:r>
              <w:rPr>
                <w:rFonts w:ascii="Calibri" w:cs="Calibri" w:eastAsia="Calibri" w:hAnsi="Calibri"/>
                <w:b/>
                <w:bCs/>
                <w:color w:val="8A1F1F"/>
                <w:sz w:val="22"/>
                <w:szCs w:val="22"/>
              </w:rPr>
              <w:t xml:space="preserve">IMPORTANT NOTICE</w:t>
            </w:r>
          </w:p>
          <w:p>
            <w:pPr>
              <w:spacing w:after="0"/>
              <w:jc w:val="both"/>
            </w:pPr>
            <w:r>
              <w:rPr>
                <w:rFonts w:ascii="Calibri" w:cs="Calibri" w:eastAsia="Calibri" w:hAnsi="Calibri"/>
                <w:b/>
                <w:bCs/>
                <w:color w:val="8A1F1F"/>
                <w:sz w:val="19"/>
                <w:szCs w:val="19"/>
              </w:rPr>
              <w:t xml:space="preserve">This report is intended only for general discussion purposes. It cannot be used for actual numbers or for any legal, technical, or regulatory works and opinions. Independent professional verification is required before any decision or filing is based on this material. See the full Legal Disclaimer on the following page.</w:t>
            </w:r>
          </w:p>
        </w:tc>
      </w:tr>
    </w:tbl>
    <w:p>
      <w:r>
        <w:br w:type="page"/>
      </w:r>
    </w:p>
    <w:p>
      <w:pPr>
        <w:pStyle w:val="Heading1"/>
        <w:spacing w:after="200" w:before="0"/>
      </w:pPr>
      <w:r>
        <w:rPr>
          <w:rFonts w:ascii="Georgia" w:cs="Georgia" w:eastAsia="Georgia" w:hAnsi="Georgia"/>
          <w:b/>
          <w:bCs/>
          <w:color w:val="1B2A4A"/>
          <w:sz w:val="30"/>
          <w:szCs w:val="30"/>
        </w:rPr>
        <w:t xml:space="preserve">Legal Disclaimer</w:t>
      </w:r>
    </w:p>
    <w:p>
      <w:pPr>
        <w:spacing w:after="100" w:before="120"/>
      </w:pPr>
      <w:r>
        <w:rPr>
          <w:rFonts w:ascii="Calibri" w:cs="Calibri" w:eastAsia="Calibri" w:hAnsi="Calibri"/>
          <w:b/>
          <w:bCs/>
          <w:color w:val="8A1F1F"/>
          <w:sz w:val="22"/>
          <w:szCs w:val="22"/>
        </w:rPr>
        <w:t xml:space="preserve">Legal Disclaimer</w:t>
      </w:r>
    </w:p>
    <w:p>
      <w:pPr>
        <w:spacing w:after="100" w:line="264"/>
        <w:jc w:val="both"/>
      </w:pPr>
      <w:r>
        <w:rPr>
          <w:rFonts w:ascii="Calibri" w:cs="Calibri" w:eastAsia="Calibri" w:hAnsi="Calibri"/>
          <w:color w:val="222222"/>
          <w:sz w:val="19"/>
          <w:szCs w:val="19"/>
        </w:rPr>
        <w:t xml:space="preserve">This Detailed Project Report ("DPR") has been prepared solely to support general discussion, preliminary evaluation, and internal deliberation regarding the proposed Sri Sri Aparanji AI Data Centre Campus. It is a working document derived from a strategic investment proposal presentation and has not been independently verified, audited, or certified by any qualified surveyor, chartered accountant, tax consultant, legal counsel, or statutory authority.</w:t>
      </w:r>
    </w:p>
    <w:p>
      <w:pPr>
        <w:spacing w:after="100" w:line="264"/>
        <w:jc w:val="both"/>
      </w:pPr>
      <w:r>
        <w:rPr>
          <w:rFonts w:ascii="Calibri" w:cs="Calibri" w:eastAsia="Calibri" w:hAnsi="Calibri"/>
          <w:b/>
          <w:bCs/>
          <w:color w:val="222222"/>
          <w:sz w:val="19"/>
          <w:szCs w:val="19"/>
        </w:rPr>
        <w:t xml:space="preserve">All figures, quantities, costs, capacities, timelines, percentages, IRR/NPV estimates, tax treatments, regulatory characterisations, and other numerical or technical data contained in this report are indicative and illustrative only. They must NOT be relied upon as accurate, final, or actionable for the purpose of investment decisions, financial commitments, project financing, statutory filings, regulatory submissions, engineering design, procurement, or any other legal, financial, tax, or technical work or opinion.</w:t>
      </w:r>
    </w:p>
    <w:p>
      <w:pPr>
        <w:spacing w:after="100" w:line="264"/>
        <w:jc w:val="both"/>
      </w:pPr>
      <w:r>
        <w:rPr>
          <w:rFonts w:ascii="Calibri" w:cs="Calibri" w:eastAsia="Calibri" w:hAnsi="Calibri"/>
          <w:color w:val="222222"/>
          <w:sz w:val="19"/>
          <w:szCs w:val="19"/>
        </w:rPr>
        <w:t xml:space="preserve">This document does not constitute, and should not be construed as, legal, tax, financial, engineering, or investment advice, nor an offer, solicitation, or recommendation to buy, sell, lease, finance, or invest in any asset or security. Readers must commission independent legal opinion, chartered engineering surveys, statutory due diligence, environmental and regulatory clearances, and professional financial/tax advice before undertaking any binding action, transaction, or representation based on this material. Anthropic and Claude played a role in transforming the source presentation into this report format and make no representation as to the accuracy or completeness of the underlying data supplied to them.</w:t>
      </w:r>
    </w:p>
    <w:p>
      <w:pPr>
        <w:spacing w:after="100" w:line="264"/>
        <w:jc w:val="both"/>
      </w:pPr>
      <w:r>
        <w:rPr>
          <w:rFonts w:ascii="Calibri" w:cs="Calibri" w:eastAsia="Calibri" w:hAnsi="Calibri"/>
          <w:color w:val="222222"/>
          <w:sz w:val="19"/>
          <w:szCs w:val="19"/>
        </w:rPr>
        <w:t xml:space="preserve">The preparer(s) and any distributing party expressly disclaim liability for any loss, damage, or claim arising from reliance on the contents of this document. This report is confidential and intended only for the general discussion of the recipient(s); it is not for public distribution.</w:t>
      </w:r>
    </w:p>
    <w:p>
      <w:pPr>
        <w:spacing w:after="200"/>
      </w:pPr>
    </w:p>
    <w:p>
      <w:pPr>
        <w:spacing w:after="100" w:before="200"/>
      </w:pPr>
      <w:r>
        <w:rPr>
          <w:rFonts w:ascii="Calibri" w:cs="Calibri" w:eastAsia="Calibri" w:hAnsi="Calibri"/>
          <w:b/>
          <w:bCs/>
          <w:color w:val="B8862E"/>
          <w:sz w:val="21"/>
          <w:szCs w:val="21"/>
        </w:rPr>
        <w:t xml:space="preserve">Document Control</w:t>
      </w:r>
    </w:p>
    <w:tbl>
      <w:tblPr>
        <w:tblW w:type="dxa" w:w="9360"/>
        <w:tblBorders>
          <w:top w:val="single" w:color="CFCFCF" w:sz="2"/>
          <w:left w:val="single" w:color="CFCFCF" w:sz="2"/>
          <w:bottom w:val="single" w:color="CFCFCF" w:sz="2"/>
          <w:right w:val="single" w:color="CFCFCF" w:sz="2"/>
          <w:insideH w:val="single" w:color="CFCFCF" w:sz="2"/>
          <w:insideV w:val="single" w:color="CFCFCF" w:sz="2"/>
        </w:tblBorders>
      </w:tblPr>
      <w:tblGrid>
        <w:gridCol w:w="2800"/>
        <w:gridCol w:w="6560"/>
      </w:tblGrid>
      <w:tr>
        <w:trPr>
          <w:tblHeader/>
        </w:trPr>
        <w:tc>
          <w:tcPr>
            <w:tcW w:type="dxa" w:w="280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Field</w:t>
            </w:r>
          </w:p>
        </w:tc>
        <w:tc>
          <w:tcPr>
            <w:tcW w:type="dxa" w:w="656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Detail</w:t>
            </w:r>
          </w:p>
        </w:tc>
      </w:tr>
      <w:tr>
        <w:tc>
          <w:tcPr>
            <w:tcW w:type="dxa" w:w="28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Report Type</w:t>
            </w:r>
          </w:p>
        </w:tc>
        <w:tc>
          <w:tcPr>
            <w:tcW w:type="dxa" w:w="65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Detailed Project Report (DPR) — General Discussion Draft</w:t>
            </w:r>
          </w:p>
        </w:tc>
      </w:tr>
      <w:tr>
        <w:tc>
          <w:tcPr>
            <w:tcW w:type="dxa" w:w="28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Project</w:t>
            </w:r>
          </w:p>
        </w:tc>
        <w:tc>
          <w:tcPr>
            <w:tcW w:type="dxa" w:w="65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Sri Sri Aparanji AI Data Centre Campus, Ramdaspally, South Hyderabad, Telangana</w:t>
            </w:r>
          </w:p>
        </w:tc>
      </w:tr>
      <w:tr>
        <w:tc>
          <w:tcPr>
            <w:tcW w:type="dxa" w:w="28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Source Document</w:t>
            </w:r>
          </w:p>
        </w:tc>
        <w:tc>
          <w:tcPr>
            <w:tcW w:type="dxa" w:w="65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Sri Sri Aparanji AI Data Centre Campus — Strategic Investment Proposal (PPTX), July 2026</w:t>
            </w:r>
          </w:p>
        </w:tc>
      </w:tr>
      <w:tr>
        <w:tc>
          <w:tcPr>
            <w:tcW w:type="dxa" w:w="28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Prepared For</w:t>
            </w:r>
          </w:p>
        </w:tc>
        <w:tc>
          <w:tcPr>
            <w:tcW w:type="dxa" w:w="65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Internal / preliminary discussion purposes only</w:t>
            </w:r>
          </w:p>
        </w:tc>
      </w:tr>
      <w:tr>
        <w:tc>
          <w:tcPr>
            <w:tcW w:type="dxa" w:w="28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Classification</w:t>
            </w:r>
          </w:p>
        </w:tc>
        <w:tc>
          <w:tcPr>
            <w:tcW w:type="dxa" w:w="65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Confidential — Not for Public Distribution</w:t>
            </w:r>
          </w:p>
        </w:tc>
      </w:tr>
      <w:tr>
        <w:tc>
          <w:tcPr>
            <w:tcW w:type="dxa" w:w="28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Status</w:t>
            </w:r>
          </w:p>
        </w:tc>
        <w:tc>
          <w:tcPr>
            <w:tcW w:type="dxa" w:w="65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Draft — figures unverified; subject to independent due diligence</w:t>
            </w:r>
          </w:p>
        </w:tc>
      </w:tr>
    </w:tbl>
    <w:p>
      <w:r>
        <w:br w:type="page"/>
      </w:r>
    </w:p>
    <w:p>
      <w:pPr>
        <w:pStyle w:val="Heading1"/>
        <w:pBdr>
          <w:bottom w:val="single" w:color="B8862E" w:sz="6" w:space="6"/>
        </w:pBdr>
        <w:spacing w:after="200" w:before="480"/>
      </w:pPr>
      <w:r>
        <w:rPr>
          <w:rFonts w:ascii="Georgia" w:cs="Georgia" w:eastAsia="Georgia" w:hAnsi="Georgia"/>
          <w:b/>
          <w:bCs/>
          <w:color w:val="1B2A4A"/>
          <w:sz w:val="30"/>
          <w:szCs w:val="30"/>
        </w:rPr>
        <w:t xml:space="preserve"/>
      </w:r>
      <w:r>
        <w:rPr>
          <w:rFonts w:ascii="Georgia" w:cs="Georgia" w:eastAsia="Georgia" w:hAnsi="Georgia"/>
          <w:b/>
          <w:bCs/>
          <w:color w:val="1B2A4A"/>
          <w:sz w:val="30"/>
          <w:szCs w:val="30"/>
        </w:rPr>
        <w:t xml:space="preserve">Table of Contents</w:t>
      </w:r>
    </w:p>
    <w:p>
      <w:pPr>
        <w:tabs>
          <w:tab w:val="right" w:pos="9026" w:leader="dot"/>
        </w:tabs>
        <w:spacing w:after="140"/>
      </w:pPr>
      <w:r>
        <w:rPr>
          <w:rFonts w:ascii="Calibri" w:cs="Calibri" w:eastAsia="Calibri" w:hAnsi="Calibri"/>
          <w:b/>
          <w:bCs/>
          <w:color w:val="1B2A4A"/>
          <w:sz w:val="22"/>
          <w:szCs w:val="22"/>
        </w:rPr>
        <w:t xml:space="preserve">1.  </w:t>
      </w:r>
      <w:r>
        <w:rPr>
          <w:rFonts w:ascii="Calibri" w:cs="Calibri" w:eastAsia="Calibri" w:hAnsi="Calibri"/>
          <w:color w:val="222222"/>
          <w:sz w:val="22"/>
          <w:szCs w:val="22"/>
        </w:rPr>
        <w:t xml:space="preserve">Introduction &amp; Project Overview</w:t>
      </w:r>
    </w:p>
    <w:p>
      <w:pPr>
        <w:tabs>
          <w:tab w:val="right" w:pos="9026" w:leader="dot"/>
        </w:tabs>
        <w:spacing w:after="140"/>
      </w:pPr>
      <w:r>
        <w:rPr>
          <w:rFonts w:ascii="Calibri" w:cs="Calibri" w:eastAsia="Calibri" w:hAnsi="Calibri"/>
          <w:b/>
          <w:bCs/>
          <w:color w:val="1B2A4A"/>
          <w:sz w:val="22"/>
          <w:szCs w:val="22"/>
        </w:rPr>
        <w:t xml:space="preserve">2.  </w:t>
      </w:r>
      <w:r>
        <w:rPr>
          <w:rFonts w:ascii="Calibri" w:cs="Calibri" w:eastAsia="Calibri" w:hAnsi="Calibri"/>
          <w:color w:val="222222"/>
          <w:sz w:val="22"/>
          <w:szCs w:val="22"/>
        </w:rPr>
        <w:t xml:space="preserve">Location &amp; Infrastructure</w:t>
      </w:r>
    </w:p>
    <w:p>
      <w:pPr>
        <w:tabs>
          <w:tab w:val="right" w:pos="9026" w:leader="dot"/>
        </w:tabs>
        <w:spacing w:after="140"/>
      </w:pPr>
      <w:r>
        <w:rPr>
          <w:rFonts w:ascii="Calibri" w:cs="Calibri" w:eastAsia="Calibri" w:hAnsi="Calibri"/>
          <w:b/>
          <w:bCs/>
          <w:color w:val="1B2A4A"/>
          <w:sz w:val="22"/>
          <w:szCs w:val="22"/>
        </w:rPr>
        <w:t xml:space="preserve">3.  </w:t>
      </w:r>
      <w:r>
        <w:rPr>
          <w:rFonts w:ascii="Calibri" w:cs="Calibri" w:eastAsia="Calibri" w:hAnsi="Calibri"/>
          <w:color w:val="222222"/>
          <w:sz w:val="22"/>
          <w:szCs w:val="22"/>
        </w:rPr>
        <w:t xml:space="preserve">Market Opportunity</w:t>
      </w:r>
    </w:p>
    <w:p>
      <w:pPr>
        <w:tabs>
          <w:tab w:val="right" w:pos="9026" w:leader="dot"/>
        </w:tabs>
        <w:spacing w:after="140"/>
      </w:pPr>
      <w:r>
        <w:rPr>
          <w:rFonts w:ascii="Calibri" w:cs="Calibri" w:eastAsia="Calibri" w:hAnsi="Calibri"/>
          <w:b/>
          <w:bCs/>
          <w:color w:val="1B2A4A"/>
          <w:sz w:val="22"/>
          <w:szCs w:val="22"/>
        </w:rPr>
        <w:t xml:space="preserve">4.  </w:t>
      </w:r>
      <w:r>
        <w:rPr>
          <w:rFonts w:ascii="Calibri" w:cs="Calibri" w:eastAsia="Calibri" w:hAnsi="Calibri"/>
          <w:color w:val="222222"/>
          <w:sz w:val="22"/>
          <w:szCs w:val="22"/>
        </w:rPr>
        <w:t xml:space="preserve">Policy &amp; Tax Framework</w:t>
      </w:r>
    </w:p>
    <w:p>
      <w:pPr>
        <w:tabs>
          <w:tab w:val="right" w:pos="9026" w:leader="dot"/>
        </w:tabs>
        <w:spacing w:after="140"/>
      </w:pPr>
      <w:r>
        <w:rPr>
          <w:rFonts w:ascii="Calibri" w:cs="Calibri" w:eastAsia="Calibri" w:hAnsi="Calibri"/>
          <w:b/>
          <w:bCs/>
          <w:color w:val="1B2A4A"/>
          <w:sz w:val="22"/>
          <w:szCs w:val="22"/>
        </w:rPr>
        <w:t xml:space="preserve">5.  </w:t>
      </w:r>
      <w:r>
        <w:rPr>
          <w:rFonts w:ascii="Calibri" w:cs="Calibri" w:eastAsia="Calibri" w:hAnsi="Calibri"/>
          <w:color w:val="222222"/>
          <w:sz w:val="22"/>
          <w:szCs w:val="22"/>
        </w:rPr>
        <w:t xml:space="preserve">Technical Design</w:t>
      </w:r>
    </w:p>
    <w:p>
      <w:pPr>
        <w:tabs>
          <w:tab w:val="right" w:pos="9026" w:leader="dot"/>
        </w:tabs>
        <w:spacing w:after="140"/>
      </w:pPr>
      <w:r>
        <w:rPr>
          <w:rFonts w:ascii="Calibri" w:cs="Calibri" w:eastAsia="Calibri" w:hAnsi="Calibri"/>
          <w:b/>
          <w:bCs/>
          <w:color w:val="1B2A4A"/>
          <w:sz w:val="22"/>
          <w:szCs w:val="22"/>
        </w:rPr>
        <w:t xml:space="preserve">6.  </w:t>
      </w:r>
      <w:r>
        <w:rPr>
          <w:rFonts w:ascii="Calibri" w:cs="Calibri" w:eastAsia="Calibri" w:hAnsi="Calibri"/>
          <w:color w:val="222222"/>
          <w:sz w:val="22"/>
          <w:szCs w:val="22"/>
        </w:rPr>
        <w:t xml:space="preserve">Financial Projections</w:t>
      </w:r>
    </w:p>
    <w:p>
      <w:pPr>
        <w:tabs>
          <w:tab w:val="right" w:pos="9026" w:leader="dot"/>
        </w:tabs>
        <w:spacing w:after="140"/>
      </w:pPr>
      <w:r>
        <w:rPr>
          <w:rFonts w:ascii="Calibri" w:cs="Calibri" w:eastAsia="Calibri" w:hAnsi="Calibri"/>
          <w:b/>
          <w:bCs/>
          <w:color w:val="1B2A4A"/>
          <w:sz w:val="22"/>
          <w:szCs w:val="22"/>
        </w:rPr>
        <w:t xml:space="preserve">7.  </w:t>
      </w:r>
      <w:r>
        <w:rPr>
          <w:rFonts w:ascii="Calibri" w:cs="Calibri" w:eastAsia="Calibri" w:hAnsi="Calibri"/>
          <w:color w:val="222222"/>
          <w:sz w:val="22"/>
          <w:szCs w:val="22"/>
        </w:rPr>
        <w:t xml:space="preserve">Competitive Advantage</w:t>
      </w:r>
    </w:p>
    <w:p>
      <w:pPr>
        <w:tabs>
          <w:tab w:val="right" w:pos="9026" w:leader="dot"/>
        </w:tabs>
        <w:spacing w:after="140"/>
      </w:pPr>
      <w:r>
        <w:rPr>
          <w:rFonts w:ascii="Calibri" w:cs="Calibri" w:eastAsia="Calibri" w:hAnsi="Calibri"/>
          <w:b/>
          <w:bCs/>
          <w:color w:val="1B2A4A"/>
          <w:sz w:val="22"/>
          <w:szCs w:val="22"/>
        </w:rPr>
        <w:t xml:space="preserve">8.  </w:t>
      </w:r>
      <w:r>
        <w:rPr>
          <w:rFonts w:ascii="Calibri" w:cs="Calibri" w:eastAsia="Calibri" w:hAnsi="Calibri"/>
          <w:color w:val="222222"/>
          <w:sz w:val="22"/>
          <w:szCs w:val="22"/>
        </w:rPr>
        <w:t xml:space="preserve">Implementation Roadmap &amp; Risk Management</w:t>
      </w:r>
    </w:p>
    <w:p>
      <w:pPr>
        <w:tabs>
          <w:tab w:val="right" w:pos="9026" w:leader="dot"/>
        </w:tabs>
        <w:spacing w:after="140"/>
      </w:pPr>
      <w:r>
        <w:rPr>
          <w:rFonts w:ascii="Calibri" w:cs="Calibri" w:eastAsia="Calibri" w:hAnsi="Calibri"/>
          <w:b/>
          <w:bCs/>
          <w:color w:val="1B2A4A"/>
          <w:sz w:val="22"/>
          <w:szCs w:val="22"/>
        </w:rPr>
        <w:t xml:space="preserve">9.  </w:t>
      </w:r>
      <w:r>
        <w:rPr>
          <w:rFonts w:ascii="Calibri" w:cs="Calibri" w:eastAsia="Calibri" w:hAnsi="Calibri"/>
          <w:color w:val="222222"/>
          <w:sz w:val="22"/>
          <w:szCs w:val="22"/>
        </w:rPr>
        <w:t xml:space="preserve">Recommended Next Steps</w:t>
      </w:r>
    </w:p>
    <w:p>
      <w:pPr>
        <w:tabs>
          <w:tab w:val="right" w:pos="9026" w:leader="dot"/>
        </w:tabs>
        <w:spacing w:after="140"/>
      </w:pPr>
      <w:r>
        <w:rPr>
          <w:rFonts w:ascii="Calibri" w:cs="Calibri" w:eastAsia="Calibri" w:hAnsi="Calibri"/>
          <w:b/>
          <w:bCs/>
          <w:color w:val="1B2A4A"/>
          <w:sz w:val="22"/>
          <w:szCs w:val="22"/>
        </w:rPr>
        <w:t xml:space="preserve">10.  </w:t>
      </w:r>
      <w:r>
        <w:rPr>
          <w:rFonts w:ascii="Calibri" w:cs="Calibri" w:eastAsia="Calibri" w:hAnsi="Calibri"/>
          <w:color w:val="222222"/>
          <w:sz w:val="22"/>
          <w:szCs w:val="22"/>
        </w:rPr>
        <w:t xml:space="preserve">Conclusion</w:t>
      </w:r>
    </w:p>
    <w:p>
      <w:pPr>
        <w:tabs>
          <w:tab w:val="right" w:pos="9026" w:leader="dot"/>
        </w:tabs>
        <w:spacing w:after="140"/>
      </w:pPr>
      <w:r>
        <w:rPr>
          <w:rFonts w:ascii="Calibri" w:cs="Calibri" w:eastAsia="Calibri" w:hAnsi="Calibri"/>
          <w:b/>
          <w:bCs/>
          <w:color w:val="1B2A4A"/>
          <w:sz w:val="22"/>
          <w:szCs w:val="22"/>
        </w:rPr>
        <w:t xml:space="preserve">11.  </w:t>
      </w:r>
      <w:r>
        <w:rPr>
          <w:rFonts w:ascii="Calibri" w:cs="Calibri" w:eastAsia="Calibri" w:hAnsi="Calibri"/>
          <w:color w:val="222222"/>
          <w:sz w:val="22"/>
          <w:szCs w:val="22"/>
        </w:rPr>
        <w:t xml:space="preserve">Legal Disclaimer (Recap)</w:t>
      </w:r>
    </w:p>
    <w:p>
      <w:r>
        <w:br w:type="page"/>
      </w:r>
    </w:p>
    <w:p>
      <w:pPr>
        <w:pStyle w:val="Heading1"/>
        <w:pBdr>
          <w:bottom w:val="single" w:color="B8862E" w:sz="6" w:space="6"/>
        </w:pBdr>
        <w:spacing w:after="200" w:before="480"/>
      </w:pPr>
      <w:r>
        <w:rPr>
          <w:rFonts w:ascii="Georgia" w:cs="Georgia" w:eastAsia="Georgia" w:hAnsi="Georgia"/>
          <w:b/>
          <w:bCs/>
          <w:color w:val="1B2A4A"/>
          <w:sz w:val="30"/>
          <w:szCs w:val="30"/>
        </w:rPr>
        <w:t xml:space="preserve">1.  </w:t>
      </w:r>
      <w:r>
        <w:rPr>
          <w:rFonts w:ascii="Georgia" w:cs="Georgia" w:eastAsia="Georgia" w:hAnsi="Georgia"/>
          <w:b/>
          <w:bCs/>
          <w:color w:val="1B2A4A"/>
          <w:sz w:val="30"/>
          <w:szCs w:val="30"/>
        </w:rPr>
        <w:t xml:space="preserve">Introduction &amp; Project Overview</w:t>
      </w:r>
    </w:p>
    <w:p>
      <w:pPr>
        <w:spacing w:after="160" w:line="276"/>
        <w:jc w:val="both"/>
      </w:pPr>
      <w:r>
        <w:rPr>
          <w:rFonts w:ascii="Calibri" w:cs="Calibri" w:eastAsia="Calibri" w:hAnsi="Calibri"/>
          <w:color w:val="222222"/>
          <w:sz w:val="21"/>
          <w:szCs w:val="21"/>
        </w:rPr>
        <w:t xml:space="preserve">The Sri Sri Aparanji AI Data Centre Campus is proposed as a 50-acre, contiguous-land data centre development in Ramdaspally, South Hyderabad, Telangana, positioned to serve India's rapidly expanding artificial intelligence and hyperscale cloud compute demand. The project is designed for phased build-out to a total campus capacity of 50 MW of IT load, with Phase 1 targeting 20 MW and Phase 2 taking the campus to full scale, followed by a longer-term ambition of expansion to 100 MW by Year 7.</w:t>
      </w:r>
    </w:p>
    <w:p>
      <w:pPr>
        <w:spacing w:after="160" w:line="276"/>
        <w:jc w:val="both"/>
      </w:pPr>
      <w:r>
        <w:rPr>
          <w:rFonts w:ascii="Calibri" w:cs="Calibri" w:eastAsia="Calibri" w:hAnsi="Calibri"/>
          <w:color w:val="222222"/>
          <w:sz w:val="21"/>
          <w:szCs w:val="21"/>
        </w:rPr>
        <w:t xml:space="preserve">The report below reorganises the strategic investment proposal into a Detailed Project Report (DPR) structure, covering location rationale, technical design, market context, policy incentives, financial projections, competitive positioning, implementation roadmap, and risk mitigation, so that the proposal can be discussed as a single, structured reference document.</w:t>
      </w:r>
    </w:p>
    <w:p>
      <w:pPr>
        <w:pStyle w:val="Heading2"/>
        <w:spacing w:after="140" w:before="320"/>
      </w:pPr>
      <w:r>
        <w:rPr>
          <w:rFonts w:ascii="Calibri" w:cs="Calibri" w:eastAsia="Calibri" w:hAnsi="Calibri"/>
          <w:b/>
          <w:bCs/>
          <w:color w:val="1B2A4A"/>
          <w:sz w:val="24"/>
          <w:szCs w:val="24"/>
        </w:rPr>
        <w:t xml:space="preserve">1.1 Key Project Attributes</w:t>
      </w:r>
    </w:p>
    <w:tbl>
      <w:tblPr>
        <w:tblW w:type="dxa" w:w="9360"/>
        <w:tblBorders>
          <w:top w:val="single" w:color="CFCFCF" w:sz="2"/>
          <w:left w:val="single" w:color="CFCFCF" w:sz="2"/>
          <w:bottom w:val="single" w:color="CFCFCF" w:sz="2"/>
          <w:right w:val="single" w:color="CFCFCF" w:sz="2"/>
          <w:insideH w:val="single" w:color="CFCFCF" w:sz="2"/>
          <w:insideV w:val="single" w:color="CFCFCF" w:sz="2"/>
        </w:tblBorders>
      </w:tblPr>
      <w:tblGrid>
        <w:gridCol w:w="3300"/>
        <w:gridCol w:w="6060"/>
      </w:tblGrid>
      <w:tr>
        <w:trPr>
          <w:tblHeader/>
        </w:trPr>
        <w:tc>
          <w:tcPr>
            <w:tcW w:type="dxa" w:w="330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Attribute</w:t>
            </w:r>
          </w:p>
        </w:tc>
        <w:tc>
          <w:tcPr>
            <w:tcW w:type="dxa" w:w="606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Detail</w:t>
            </w:r>
          </w:p>
        </w:tc>
      </w:tr>
      <w:tr>
        <w:tc>
          <w:tcPr>
            <w:tcW w:type="dxa" w:w="33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Project Name</w:t>
            </w:r>
          </w:p>
        </w:tc>
        <w:tc>
          <w:tcPr>
            <w:tcW w:type="dxa" w:w="60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Sri Sri Aparanji AI Data Centre Campus</w:t>
            </w:r>
          </w:p>
        </w:tc>
      </w:tr>
      <w:tr>
        <w:tc>
          <w:tcPr>
            <w:tcW w:type="dxa" w:w="33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Location</w:t>
            </w:r>
          </w:p>
        </w:tc>
        <w:tc>
          <w:tcPr>
            <w:tcW w:type="dxa" w:w="60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50 acres, Ramdaspally, South Hyderabad, Telangana</w:t>
            </w:r>
          </w:p>
        </w:tc>
      </w:tr>
      <w:tr>
        <w:tc>
          <w:tcPr>
            <w:tcW w:type="dxa" w:w="33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Phase 1 Capacity</w:t>
            </w:r>
          </w:p>
        </w:tc>
        <w:tc>
          <w:tcPr>
            <w:tcW w:type="dxa" w:w="60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20 MW IT Load (DC Hall 1: 10 MW)</w:t>
            </w:r>
          </w:p>
        </w:tc>
      </w:tr>
      <w:tr>
        <w:tc>
          <w:tcPr>
            <w:tcW w:type="dxa" w:w="33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Phase 2 Capacity</w:t>
            </w:r>
          </w:p>
        </w:tc>
        <w:tc>
          <w:tcPr>
            <w:tcW w:type="dxa" w:w="60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50 MW total campus (DC Halls 2 &amp; 3)</w:t>
            </w:r>
          </w:p>
        </w:tc>
      </w:tr>
      <w:tr>
        <w:tc>
          <w:tcPr>
            <w:tcW w:type="dxa" w:w="33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Development Model</w:t>
            </w:r>
          </w:p>
        </w:tc>
        <w:tc>
          <w:tcPr>
            <w:tcW w:type="dxa" w:w="60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Build-Operate-Lease / Joint Venture with a global hyperscaler</w:t>
            </w:r>
          </w:p>
        </w:tc>
      </w:tr>
      <w:tr>
        <w:tc>
          <w:tcPr>
            <w:tcW w:type="dxa" w:w="33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Primary Use Cases</w:t>
            </w:r>
          </w:p>
        </w:tc>
        <w:tc>
          <w:tcPr>
            <w:tcW w:type="dxa" w:w="60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AI compute, hyperscale cloud, sovereign data, defence cloud</w:t>
            </w:r>
          </w:p>
        </w:tc>
      </w:tr>
      <w:tr>
        <w:tc>
          <w:tcPr>
            <w:tcW w:type="dxa" w:w="33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India DC Pipeline (context)</w:t>
            </w:r>
          </w:p>
        </w:tc>
        <w:tc>
          <w:tcPr>
            <w:tcW w:type="dxa" w:w="60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8.33 GW as of June 2026</w:t>
            </w:r>
          </w:p>
        </w:tc>
      </w:tr>
      <w:tr>
        <w:tc>
          <w:tcPr>
            <w:tcW w:type="dxa" w:w="33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Telangana State Target</w:t>
            </w:r>
          </w:p>
        </w:tc>
        <w:tc>
          <w:tcPr>
            <w:tcW w:type="dxa" w:w="60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5 GW of data centre capacity by 2030</w:t>
            </w:r>
          </w:p>
        </w:tc>
      </w:tr>
      <w:tr>
        <w:tc>
          <w:tcPr>
            <w:tcW w:type="dxa" w:w="33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Total Investment</w:t>
            </w:r>
          </w:p>
        </w:tc>
        <w:tc>
          <w:tcPr>
            <w:tcW w:type="dxa" w:w="60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INR 1,800 Crore (~USD 215 million, indicative)</w:t>
            </w:r>
          </w:p>
        </w:tc>
      </w:tr>
      <w:tr>
        <w:tc>
          <w:tcPr>
            <w:tcW w:type="dxa" w:w="33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Uptime Target</w:t>
            </w:r>
          </w:p>
        </w:tc>
        <w:tc>
          <w:tcPr>
            <w:tcW w:type="dxa" w:w="60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Uptime Institute Tier III / Tier III+ certification (targeted)</w:t>
            </w:r>
          </w:p>
        </w:tc>
      </w:tr>
    </w:tbl>
    <w:p>
      <w:pPr>
        <w:spacing w:after="200" w:before="60"/>
      </w:pPr>
      <w:r>
        <w:rPr>
          <w:rFonts w:ascii="Calibri" w:cs="Calibri" w:eastAsia="Calibri" w:hAnsi="Calibri"/>
          <w:i/>
          <w:iCs/>
          <w:color w:val="6E6E6E"/>
          <w:sz w:val="16"/>
          <w:szCs w:val="16"/>
        </w:rPr>
        <w:t xml:space="preserve">Source: Sri Sri Aparanji AI Data Centre Proposal, July 2026 — figures indicative, unverified</w:t>
      </w:r>
    </w:p>
    <w:p>
      <w:pPr>
        <w:pStyle w:val="Heading2"/>
        <w:spacing w:after="140" w:before="320"/>
      </w:pPr>
      <w:r>
        <w:rPr>
          <w:rFonts w:ascii="Calibri" w:cs="Calibri" w:eastAsia="Calibri" w:hAnsi="Calibri"/>
          <w:b/>
          <w:bCs/>
          <w:color w:val="1B2A4A"/>
          <w:sz w:val="24"/>
          <w:szCs w:val="24"/>
        </w:rPr>
        <w:t xml:space="preserve">1.2 Investment Thesis Summary</w:t>
      </w:r>
    </w:p>
    <w:p>
      <w:pPr>
        <w:pStyle w:val="ListParagraph"/>
        <w:numPr>
          <w:ilvl w:val="0"/>
          <w:numId w:val="1"/>
        </w:numPr>
        <w:spacing w:after="90" w:line="264"/>
      </w:pPr>
      <w:r>
        <w:rPr>
          <w:rFonts w:ascii="Calibri" w:cs="Calibri" w:eastAsia="Calibri" w:hAnsi="Calibri"/>
          <w:color w:val="222222"/>
          <w:sz w:val="21"/>
          <w:szCs w:val="21"/>
        </w:rPr>
        <w:t xml:space="preserve">Land scarcity moat: a 50-acre contiguous parcel is positioned at an indicative INR 4-5 Cr/acre versus INR 15-20 Cr/acre quoted for Gachibowli, suggesting a potential 3-4x land-cost advantage with room for future expansion.</w:t>
      </w:r>
    </w:p>
    <w:p>
      <w:pPr>
        <w:pStyle w:val="ListParagraph"/>
        <w:numPr>
          <w:ilvl w:val="0"/>
          <w:numId w:val="1"/>
        </w:numPr>
        <w:spacing w:after="90" w:line="264"/>
      </w:pPr>
      <w:r>
        <w:rPr>
          <w:rFonts w:ascii="Calibri" w:cs="Calibri" w:eastAsia="Calibri" w:hAnsi="Calibri"/>
          <w:color w:val="222222"/>
          <w:sz w:val="21"/>
          <w:szCs w:val="21"/>
        </w:rPr>
        <w:t xml:space="preserve">Defence corridor proximity: the site is described as being within roughly 10 km of DRDO, BDL, RCI and NSG establishments, which the proposal positions as relevant for classified cloud and sovereign data hosting opportunities — subject to actual security clearance and government contracting processes.</w:t>
      </w:r>
    </w:p>
    <w:p>
      <w:pPr>
        <w:pStyle w:val="ListParagraph"/>
        <w:numPr>
          <w:ilvl w:val="0"/>
          <w:numId w:val="1"/>
        </w:numPr>
        <w:spacing w:after="90" w:line="264"/>
      </w:pPr>
      <w:r>
        <w:rPr>
          <w:rFonts w:ascii="Calibri" w:cs="Calibri" w:eastAsia="Calibri" w:hAnsi="Calibri"/>
          <w:color w:val="222222"/>
          <w:sz w:val="21"/>
          <w:szCs w:val="21"/>
        </w:rPr>
        <w:t xml:space="preserve">Tax-optimised structure: the proposal estimates an IRR of 18-22% with incentives versus 12-14% without, attributed to a tax holiday, power subsidies, and accelerated depreciation — all estimates pending independent tax and financial verification.</w:t>
      </w:r>
    </w:p>
    <w:p>
      <w:pPr>
        <w:pStyle w:val="ListParagraph"/>
        <w:numPr>
          <w:ilvl w:val="0"/>
          <w:numId w:val="1"/>
        </w:numPr>
        <w:spacing w:after="90" w:line="264"/>
      </w:pPr>
      <w:r>
        <w:rPr>
          <w:rFonts w:ascii="Calibri" w:cs="Calibri" w:eastAsia="Calibri" w:hAnsi="Calibri"/>
          <w:color w:val="222222"/>
          <w:sz w:val="21"/>
          <w:szCs w:val="21"/>
        </w:rPr>
        <w:t xml:space="preserve">AI-native design intent: the campus is proposed as NVIDIA DGX SuperPOD-compatible, featuring direct liquid cooling manifolds, a 100G/400G fibre backbone, and modular hall deployment.</w:t>
      </w:r>
    </w:p>
    <w:p>
      <w:r>
        <w:br w:type="page"/>
      </w:r>
    </w:p>
    <w:p>
      <w:pPr>
        <w:pStyle w:val="Heading1"/>
        <w:pBdr>
          <w:bottom w:val="single" w:color="B8862E" w:sz="6" w:space="6"/>
        </w:pBdr>
        <w:spacing w:after="200" w:before="480"/>
      </w:pPr>
      <w:r>
        <w:rPr>
          <w:rFonts w:ascii="Georgia" w:cs="Georgia" w:eastAsia="Georgia" w:hAnsi="Georgia"/>
          <w:b/>
          <w:bCs/>
          <w:color w:val="1B2A4A"/>
          <w:sz w:val="30"/>
          <w:szCs w:val="30"/>
        </w:rPr>
        <w:t xml:space="preserve">2.  </w:t>
      </w:r>
      <w:r>
        <w:rPr>
          <w:rFonts w:ascii="Georgia" w:cs="Georgia" w:eastAsia="Georgia" w:hAnsi="Georgia"/>
          <w:b/>
          <w:bCs/>
          <w:color w:val="1B2A4A"/>
          <w:sz w:val="30"/>
          <w:szCs w:val="30"/>
        </w:rPr>
        <w:t xml:space="preserve">Location &amp; Infrastructure</w:t>
      </w:r>
    </w:p>
    <w:p>
      <w:pPr>
        <w:spacing w:after="160" w:line="276"/>
        <w:jc w:val="both"/>
      </w:pPr>
      <w:r>
        <w:rPr>
          <w:rFonts w:ascii="Calibri" w:cs="Calibri" w:eastAsia="Calibri" w:hAnsi="Calibri"/>
          <w:color w:val="222222"/>
          <w:sz w:val="21"/>
          <w:szCs w:val="21"/>
        </w:rPr>
        <w:t xml:space="preserve">Ramdaspally's positioning is presented as translating real-estate characteristics directly into data-centre-relevant infrastructure advantages: proximity to the Outer Ring Road (ORR) fibre backbone, highway-based route diversity, an existing IT/hardware ecosystem at Adibatla, and adjacency to defence and aviation-linked institutions.</w:t>
      </w:r>
    </w:p>
    <w:p>
      <w:pPr>
        <w:pStyle w:val="Heading2"/>
        <w:spacing w:after="140" w:before="320"/>
      </w:pPr>
      <w:r>
        <w:rPr>
          <w:rFonts w:ascii="Calibri" w:cs="Calibri" w:eastAsia="Calibri" w:hAnsi="Calibri"/>
          <w:b/>
          <w:bCs/>
          <w:color w:val="1B2A4A"/>
          <w:sz w:val="24"/>
          <w:szCs w:val="24"/>
        </w:rPr>
        <w:t xml:space="preserve">2.1 Proximity &amp; Connectivity Summary</w:t>
      </w:r>
    </w:p>
    <w:tbl>
      <w:tblPr>
        <w:tblW w:type="dxa" w:w="9360"/>
        <w:tblBorders>
          <w:top w:val="single" w:color="CFCFCF" w:sz="2"/>
          <w:left w:val="single" w:color="CFCFCF" w:sz="2"/>
          <w:bottom w:val="single" w:color="CFCFCF" w:sz="2"/>
          <w:right w:val="single" w:color="CFCFCF" w:sz="2"/>
          <w:insideH w:val="single" w:color="CFCFCF" w:sz="2"/>
          <w:insideV w:val="single" w:color="CFCFCF" w:sz="2"/>
        </w:tblBorders>
      </w:tblPr>
      <w:tblGrid>
        <w:gridCol w:w="3000"/>
        <w:gridCol w:w="1600"/>
        <w:gridCol w:w="4760"/>
      </w:tblGrid>
      <w:tr>
        <w:trPr>
          <w:tblHeader/>
        </w:trPr>
        <w:tc>
          <w:tcPr>
            <w:tcW w:type="dxa" w:w="300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Landmark</w:t>
            </w:r>
          </w:p>
        </w:tc>
        <w:tc>
          <w:tcPr>
            <w:tcW w:type="dxa" w:w="160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Distance</w:t>
            </w:r>
          </w:p>
        </w:tc>
        <w:tc>
          <w:tcPr>
            <w:tcW w:type="dxa" w:w="476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Relevance (as proposed)</w:t>
            </w:r>
          </w:p>
        </w:tc>
      </w:tr>
      <w:tr>
        <w:tc>
          <w:tcPr>
            <w:tcW w:type="dxa" w:w="30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Outer Ring Road (ORR)</w:t>
            </w:r>
          </w:p>
        </w:tc>
        <w:tc>
          <w:tcPr>
            <w:tcW w:type="dxa" w:w="16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4 km</w:t>
            </w:r>
          </w:p>
        </w:tc>
        <w:tc>
          <w:tcPr>
            <w:tcW w:type="dxa" w:w="47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Fibre backbone access; low-latency path to city core</w:t>
            </w:r>
          </w:p>
        </w:tc>
      </w:tr>
      <w:tr>
        <w:tc>
          <w:tcPr>
            <w:tcW w:type="dxa" w:w="30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Rajiv Gandhi Int'l Airport</w:t>
            </w:r>
          </w:p>
        </w:tc>
        <w:tc>
          <w:tcPr>
            <w:tcW w:type="dxa" w:w="16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25 km / ~30 min</w:t>
            </w:r>
          </w:p>
        </w:tc>
        <w:tc>
          <w:tcPr>
            <w:tcW w:type="dxa" w:w="47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Proximity to cable-landing/interconnection points</w:t>
            </w:r>
          </w:p>
        </w:tc>
      </w:tr>
      <w:tr>
        <w:tc>
          <w:tcPr>
            <w:tcW w:type="dxa" w:w="30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Nagarjuna Sagar Highway</w:t>
            </w:r>
          </w:p>
        </w:tc>
        <w:tc>
          <w:tcPr>
            <w:tcW w:type="dxa" w:w="16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~5 min</w:t>
            </w:r>
          </w:p>
        </w:tc>
        <w:tc>
          <w:tcPr>
            <w:tcW w:type="dxa" w:w="47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East-west fibre route diversity</w:t>
            </w:r>
          </w:p>
        </w:tc>
      </w:tr>
      <w:tr>
        <w:tc>
          <w:tcPr>
            <w:tcW w:type="dxa" w:w="30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Vijayawada Highway</w:t>
            </w:r>
          </w:p>
        </w:tc>
        <w:tc>
          <w:tcPr>
            <w:tcW w:type="dxa" w:w="16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~10 min</w:t>
            </w:r>
          </w:p>
        </w:tc>
        <w:tc>
          <w:tcPr>
            <w:tcW w:type="dxa" w:w="47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East-coast cable route / DR corridor</w:t>
            </w:r>
          </w:p>
        </w:tc>
      </w:tr>
      <w:tr>
        <w:tc>
          <w:tcPr>
            <w:tcW w:type="dxa" w:w="30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Adibatla IT Hub</w:t>
            </w:r>
          </w:p>
        </w:tc>
        <w:tc>
          <w:tcPr>
            <w:tcW w:type="dxa" w:w="16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~10 min</w:t>
            </w:r>
          </w:p>
        </w:tc>
        <w:tc>
          <w:tcPr>
            <w:tcW w:type="dxa" w:w="47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Existing IT/colocation demand base</w:t>
            </w:r>
          </w:p>
        </w:tc>
      </w:tr>
      <w:tr>
        <w:tc>
          <w:tcPr>
            <w:tcW w:type="dxa" w:w="30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Aviation industry cluster</w:t>
            </w:r>
          </w:p>
        </w:tc>
        <w:tc>
          <w:tcPr>
            <w:tcW w:type="dxa" w:w="16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Adjacent</w:t>
            </w:r>
          </w:p>
        </w:tc>
        <w:tc>
          <w:tcPr>
            <w:tcW w:type="dxa" w:w="47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Potential sovereign/classified hosting demand</w:t>
            </w:r>
          </w:p>
        </w:tc>
      </w:tr>
      <w:tr>
        <w:tc>
          <w:tcPr>
            <w:tcW w:type="dxa" w:w="30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Hardware Park (C-DAC, HCL, Zen Tech)</w:t>
            </w:r>
          </w:p>
        </w:tc>
        <w:tc>
          <w:tcPr>
            <w:tcW w:type="dxa" w:w="16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Adjacent</w:t>
            </w:r>
          </w:p>
        </w:tc>
        <w:tc>
          <w:tcPr>
            <w:tcW w:type="dxa" w:w="47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Local server supply-chain ecosystem</w:t>
            </w:r>
          </w:p>
        </w:tc>
      </w:tr>
      <w:tr>
        <w:tc>
          <w:tcPr>
            <w:tcW w:type="dxa" w:w="30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Defence institutions (DRDO, BDL, RCI, NSG)</w:t>
            </w:r>
          </w:p>
        </w:tc>
        <w:tc>
          <w:tcPr>
            <w:tcW w:type="dxa" w:w="16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Within ~10 km</w:t>
            </w:r>
          </w:p>
        </w:tc>
        <w:tc>
          <w:tcPr>
            <w:tcW w:type="dxa" w:w="47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Government/defence cloud potential</w:t>
            </w:r>
          </w:p>
        </w:tc>
      </w:tr>
      <w:tr>
        <w:tc>
          <w:tcPr>
            <w:tcW w:type="dxa" w:w="30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Education hub</w:t>
            </w:r>
          </w:p>
        </w:tc>
        <w:tc>
          <w:tcPr>
            <w:tcW w:type="dxa" w:w="16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15 km radius</w:t>
            </w:r>
          </w:p>
        </w:tc>
        <w:tc>
          <w:tcPr>
            <w:tcW w:type="dxa" w:w="47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Technical talent pipeline (cited as 50+ institutions)</w:t>
            </w:r>
          </w:p>
        </w:tc>
      </w:tr>
      <w:tr>
        <w:tc>
          <w:tcPr>
            <w:tcW w:type="dxa" w:w="30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On-site water resource</w:t>
            </w:r>
          </w:p>
        </w:tc>
        <w:tc>
          <w:tcPr>
            <w:tcW w:type="dxa" w:w="16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On-site</w:t>
            </w:r>
          </w:p>
        </w:tc>
        <w:tc>
          <w:tcPr>
            <w:tcW w:type="dxa" w:w="47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Cited capacity of 1.5 million litres/day for cooling</w:t>
            </w:r>
          </w:p>
        </w:tc>
      </w:tr>
    </w:tbl>
    <w:p>
      <w:pPr>
        <w:spacing w:after="200" w:before="60"/>
      </w:pPr>
      <w:r>
        <w:rPr>
          <w:rFonts w:ascii="Calibri" w:cs="Calibri" w:eastAsia="Calibri" w:hAnsi="Calibri"/>
          <w:i/>
          <w:iCs/>
          <w:color w:val="6E6E6E"/>
          <w:sz w:val="16"/>
          <w:szCs w:val="16"/>
        </w:rPr>
        <w:t xml:space="preserve">Source: Sri Sri Aparanji AI Data Centre Proposal, Location Analysis Section — indicative distances/claims</w:t>
      </w:r>
    </w:p>
    <w:p>
      <w:pPr>
        <w:pStyle w:val="Heading2"/>
        <w:spacing w:after="140" w:before="320"/>
      </w:pPr>
      <w:r>
        <w:rPr>
          <w:rFonts w:ascii="Calibri" w:cs="Calibri" w:eastAsia="Calibri" w:hAnsi="Calibri"/>
          <w:b/>
          <w:bCs/>
          <w:color w:val="1B2A4A"/>
          <w:sz w:val="24"/>
          <w:szCs w:val="24"/>
        </w:rPr>
        <w:t xml:space="preserve">2.2 Critical Infrastructure Readiness (as proposed)</w:t>
      </w:r>
    </w:p>
    <w:tbl>
      <w:tblPr>
        <w:tblW w:type="dxa" w:w="9360"/>
        <w:tblBorders>
          <w:top w:val="single" w:color="CFCFCF" w:sz="2"/>
          <w:left w:val="single" w:color="CFCFCF" w:sz="2"/>
          <w:bottom w:val="single" w:color="CFCFCF" w:sz="2"/>
          <w:right w:val="single" w:color="CFCFCF" w:sz="2"/>
          <w:insideH w:val="single" w:color="CFCFCF" w:sz="2"/>
          <w:insideV w:val="single" w:color="CFCFCF" w:sz="2"/>
        </w:tblBorders>
      </w:tblPr>
      <w:tblGrid>
        <w:gridCol w:w="4680"/>
        <w:gridCol w:w="4680"/>
      </w:tblGrid>
      <w:tr>
        <w:trPr>
          <w:tblHeader/>
        </w:trPr>
        <w:tc>
          <w:tcPr>
            <w:tcW w:type="dxa" w:w="468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Metric</w:t>
            </w:r>
          </w:p>
        </w:tc>
        <w:tc>
          <w:tcPr>
            <w:tcW w:type="dxa" w:w="468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Proposed Figure</w:t>
            </w:r>
          </w:p>
        </w:tc>
      </w:tr>
      <w:tr>
        <w:tc>
          <w:tcPr>
            <w:tcW w:type="dxa" w:w="468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Latency to city core</w:t>
            </w:r>
          </w:p>
        </w:tc>
        <w:tc>
          <w:tcPr>
            <w:tcW w:type="dxa" w:w="468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Under 10 ms (claimed)</w:t>
            </w:r>
          </w:p>
        </w:tc>
      </w:tr>
      <w:tr>
        <w:tc>
          <w:tcPr>
            <w:tcW w:type="dxa" w:w="468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Water capacity</w:t>
            </w:r>
          </w:p>
        </w:tc>
        <w:tc>
          <w:tcPr>
            <w:tcW w:type="dxa" w:w="468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1.5 million litres/day</w:t>
            </w:r>
          </w:p>
        </w:tc>
      </w:tr>
      <w:tr>
        <w:tc>
          <w:tcPr>
            <w:tcW w:type="dxa" w:w="468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Substation configuration</w:t>
            </w:r>
          </w:p>
        </w:tc>
        <w:tc>
          <w:tcPr>
            <w:tcW w:type="dxa" w:w="468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220 kV, dual feed (planned)</w:t>
            </w:r>
          </w:p>
        </w:tc>
      </w:tr>
      <w:tr>
        <w:tc>
          <w:tcPr>
            <w:tcW w:type="dxa" w:w="468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Diesel backup</w:t>
            </w:r>
          </w:p>
        </w:tc>
        <w:tc>
          <w:tcPr>
            <w:tcW w:type="dxa" w:w="468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7 days (fuel farm, planned)</w:t>
            </w:r>
          </w:p>
        </w:tc>
      </w:tr>
      <w:tr>
        <w:tc>
          <w:tcPr>
            <w:tcW w:type="dxa" w:w="468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On-site solar</w:t>
            </w:r>
          </w:p>
        </w:tc>
        <w:tc>
          <w:tcPr>
            <w:tcW w:type="dxa" w:w="468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10 MW (planned)</w:t>
            </w:r>
          </w:p>
        </w:tc>
      </w:tr>
    </w:tbl>
    <w:p>
      <w:pPr>
        <w:spacing w:after="160" w:line="276"/>
        <w:jc w:val="both"/>
      </w:pPr>
      <w:r>
        <w:rPr>
          <w:rFonts w:ascii="Calibri" w:cs="Calibri" w:eastAsia="Calibri" w:hAnsi="Calibri"/>
          <w:color w:val="222222"/>
          <w:sz w:val="21"/>
          <w:szCs w:val="21"/>
        </w:rPr>
        <w:t xml:space="preserve">The proposal also references target certifications including ISO 27001, SOC 2 Type II, PCI DSS, RBI compliance readiness, Tier III+ (Uptime Institute) and IGBC Platinum. None of these certifications should be treated as achieved; they represent stated targets pending formal audit and certification processes.</w:t>
      </w:r>
    </w:p>
    <w:p>
      <w:r>
        <w:br w:type="page"/>
      </w:r>
    </w:p>
    <w:p>
      <w:pPr>
        <w:pStyle w:val="Heading1"/>
        <w:pBdr>
          <w:bottom w:val="single" w:color="B8862E" w:sz="6" w:space="6"/>
        </w:pBdr>
        <w:spacing w:after="200" w:before="480"/>
      </w:pPr>
      <w:r>
        <w:rPr>
          <w:rFonts w:ascii="Georgia" w:cs="Georgia" w:eastAsia="Georgia" w:hAnsi="Georgia"/>
          <w:b/>
          <w:bCs/>
          <w:color w:val="1B2A4A"/>
          <w:sz w:val="30"/>
          <w:szCs w:val="30"/>
        </w:rPr>
        <w:t xml:space="preserve">3.  </w:t>
      </w:r>
      <w:r>
        <w:rPr>
          <w:rFonts w:ascii="Georgia" w:cs="Georgia" w:eastAsia="Georgia" w:hAnsi="Georgia"/>
          <w:b/>
          <w:bCs/>
          <w:color w:val="1B2A4A"/>
          <w:sz w:val="30"/>
          <w:szCs w:val="30"/>
        </w:rPr>
        <w:t xml:space="preserve">Market Opportunity</w:t>
      </w:r>
    </w:p>
    <w:p>
      <w:pPr>
        <w:spacing w:after="160" w:line="276"/>
        <w:jc w:val="both"/>
      </w:pPr>
      <w:r>
        <w:rPr>
          <w:rFonts w:ascii="Calibri" w:cs="Calibri" w:eastAsia="Calibri" w:hAnsi="Calibri"/>
          <w:color w:val="222222"/>
          <w:sz w:val="21"/>
          <w:szCs w:val="21"/>
        </w:rPr>
        <w:t xml:space="preserve">The proposal frames the project against a broader industry narrative of rising Indian data centre capacity, AI-driven demand growth, and data-localisation requirements. These figures are drawn from industry reports and government statements cited in the source proposal and should be treated as third-party market context rather than verified statistics.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8862E" w:sz="2"/>
              <w:left w:val="single" w:color="B8862E" w:sz="2"/>
              <w:bottom w:val="single" w:color="B8862E" w:sz="2"/>
              <w:right w:val="single" w:color="B8862E" w:sz="2"/>
            </w:tcBorders>
            <w:shd w:fill="F4E9D8" w:val="clear"/>
            <w:tcMar>
              <w:top w:type="dxa" w:w="160"/>
              <w:left w:type="dxa" w:w="120"/>
              <w:bottom w:type="dxa" w:w="160"/>
              <w:right w:type="dxa" w:w="120"/>
            </w:tcMar>
          </w:tcPr>
          <w:p>
            <w:pPr>
              <w:spacing w:after="40"/>
              <w:jc w:val="center"/>
            </w:pPr>
            <w:r>
              <w:rPr>
                <w:rFonts w:ascii="Georgia" w:cs="Georgia" w:eastAsia="Georgia" w:hAnsi="Georgia"/>
                <w:b/>
                <w:bCs/>
                <w:color w:val="1B2A4A"/>
                <w:sz w:val="26"/>
                <w:szCs w:val="26"/>
              </w:rPr>
              <w:t xml:space="preserve">8.33 GW</w:t>
            </w:r>
          </w:p>
          <w:p>
            <w:pPr>
              <w:jc w:val="center"/>
            </w:pPr>
            <w:r>
              <w:rPr>
                <w:rFonts w:ascii="Calibri" w:cs="Calibri" w:eastAsia="Calibri" w:hAnsi="Calibri"/>
                <w:color w:val="6E6E6E"/>
                <w:sz w:val="16"/>
                <w:szCs w:val="16"/>
              </w:rPr>
              <w:t xml:space="preserve">India DC pipeline (cited, June 2026)</w:t>
            </w:r>
          </w:p>
        </w:tc>
        <w:tc>
          <w:tcPr>
            <w:tcW w:type="dxa" w:w="2340"/>
            <w:tcBorders>
              <w:top w:val="single" w:color="B8862E" w:sz="2"/>
              <w:left w:val="single" w:color="B8862E" w:sz="2"/>
              <w:bottom w:val="single" w:color="B8862E" w:sz="2"/>
              <w:right w:val="single" w:color="B8862E" w:sz="2"/>
            </w:tcBorders>
            <w:shd w:fill="F4E9D8" w:val="clear"/>
            <w:tcMar>
              <w:top w:type="dxa" w:w="160"/>
              <w:left w:type="dxa" w:w="120"/>
              <w:bottom w:type="dxa" w:w="160"/>
              <w:right w:type="dxa" w:w="120"/>
            </w:tcMar>
          </w:tcPr>
          <w:p>
            <w:pPr>
              <w:spacing w:after="40"/>
              <w:jc w:val="center"/>
            </w:pPr>
            <w:r>
              <w:rPr>
                <w:rFonts w:ascii="Georgia" w:cs="Georgia" w:eastAsia="Georgia" w:hAnsi="Georgia"/>
                <w:b/>
                <w:bCs/>
                <w:color w:val="1B2A4A"/>
                <w:sz w:val="26"/>
                <w:szCs w:val="26"/>
              </w:rPr>
              <w:t xml:space="preserve">35%</w:t>
            </w:r>
          </w:p>
          <w:p>
            <w:pPr>
              <w:jc w:val="center"/>
            </w:pPr>
            <w:r>
              <w:rPr>
                <w:rFonts w:ascii="Calibri" w:cs="Calibri" w:eastAsia="Calibri" w:hAnsi="Calibri"/>
                <w:color w:val="6E6E6E"/>
                <w:sz w:val="16"/>
                <w:szCs w:val="16"/>
              </w:rPr>
              <w:t xml:space="preserve">Cited India AI market CAGR</w:t>
            </w:r>
          </w:p>
        </w:tc>
        <w:tc>
          <w:tcPr>
            <w:tcW w:type="dxa" w:w="2340"/>
            <w:tcBorders>
              <w:top w:val="single" w:color="B8862E" w:sz="2"/>
              <w:left w:val="single" w:color="B8862E" w:sz="2"/>
              <w:bottom w:val="single" w:color="B8862E" w:sz="2"/>
              <w:right w:val="single" w:color="B8862E" w:sz="2"/>
            </w:tcBorders>
            <w:shd w:fill="F4E9D8" w:val="clear"/>
            <w:tcMar>
              <w:top w:type="dxa" w:w="160"/>
              <w:left w:type="dxa" w:w="120"/>
              <w:bottom w:type="dxa" w:w="160"/>
              <w:right w:type="dxa" w:w="120"/>
            </w:tcMar>
          </w:tcPr>
          <w:p>
            <w:pPr>
              <w:spacing w:after="40"/>
              <w:jc w:val="center"/>
            </w:pPr>
            <w:r>
              <w:rPr>
                <w:rFonts w:ascii="Georgia" w:cs="Georgia" w:eastAsia="Georgia" w:hAnsi="Georgia"/>
                <w:b/>
                <w:bCs/>
                <w:color w:val="1B2A4A"/>
                <w:sz w:val="26"/>
                <w:szCs w:val="26"/>
              </w:rPr>
              <w:t xml:space="preserve">5 GW</w:t>
            </w:r>
          </w:p>
          <w:p>
            <w:pPr>
              <w:jc w:val="center"/>
            </w:pPr>
            <w:r>
              <w:rPr>
                <w:rFonts w:ascii="Calibri" w:cs="Calibri" w:eastAsia="Calibri" w:hAnsi="Calibri"/>
                <w:color w:val="6E6E6E"/>
                <w:sz w:val="16"/>
                <w:szCs w:val="16"/>
              </w:rPr>
              <w:t xml:space="preserve">Telangana 2030 target (cited)</w:t>
            </w:r>
          </w:p>
        </w:tc>
        <w:tc>
          <w:tcPr>
            <w:tcW w:type="dxa" w:w="2340"/>
            <w:tcBorders>
              <w:top w:val="single" w:color="B8862E" w:sz="2"/>
              <w:left w:val="single" w:color="B8862E" w:sz="2"/>
              <w:bottom w:val="single" w:color="B8862E" w:sz="2"/>
              <w:right w:val="single" w:color="B8862E" w:sz="2"/>
            </w:tcBorders>
            <w:shd w:fill="F4E9D8" w:val="clear"/>
            <w:tcMar>
              <w:top w:type="dxa" w:w="160"/>
              <w:left w:type="dxa" w:w="120"/>
              <w:bottom w:type="dxa" w:w="160"/>
              <w:right w:type="dxa" w:w="120"/>
            </w:tcMar>
          </w:tcPr>
          <w:p>
            <w:pPr>
              <w:spacing w:after="40"/>
              <w:jc w:val="center"/>
            </w:pPr>
            <w:r>
              <w:rPr>
                <w:rFonts w:ascii="Georgia" w:cs="Georgia" w:eastAsia="Georgia" w:hAnsi="Georgia"/>
                <w:b/>
                <w:bCs/>
                <w:color w:val="1B2A4A"/>
                <w:sz w:val="26"/>
                <w:szCs w:val="26"/>
              </w:rPr>
              <w:t xml:space="preserve">$10-20B</w:t>
            </w:r>
          </w:p>
          <w:p>
            <w:pPr>
              <w:jc w:val="center"/>
            </w:pPr>
            <w:r>
              <w:rPr>
                <w:rFonts w:ascii="Calibri" w:cs="Calibri" w:eastAsia="Calibri" w:hAnsi="Calibri"/>
                <w:color w:val="6E6E6E"/>
                <w:sz w:val="16"/>
                <w:szCs w:val="16"/>
              </w:rPr>
              <w:t xml:space="preserve">Hyderabad pipeline (cited)</w:t>
            </w:r>
          </w:p>
        </w:tc>
      </w:tr>
    </w:tbl>
    <w:p>
      <w:pPr>
        <w:spacing w:after="160"/>
      </w:pPr>
    </w:p>
    <w:p>
      <w:pPr>
        <w:pStyle w:val="Heading2"/>
        <w:spacing w:after="140" w:before="320"/>
      </w:pPr>
      <w:r>
        <w:rPr>
          <w:rFonts w:ascii="Calibri" w:cs="Calibri" w:eastAsia="Calibri" w:hAnsi="Calibri"/>
          <w:b/>
          <w:bCs/>
          <w:color w:val="1B2A4A"/>
          <w:sz w:val="24"/>
          <w:szCs w:val="24"/>
        </w:rPr>
        <w:t xml:space="preserve">3.1 Cited Demand Drivers</w:t>
      </w:r>
    </w:p>
    <w:p>
      <w:pPr>
        <w:pStyle w:val="ListParagraph"/>
        <w:numPr>
          <w:ilvl w:val="0"/>
          <w:numId w:val="1"/>
        </w:numPr>
        <w:spacing w:after="90" w:line="264"/>
      </w:pPr>
      <w:r>
        <w:rPr>
          <w:rFonts w:ascii="Calibri" w:cs="Calibri" w:eastAsia="Calibri" w:hAnsi="Calibri"/>
          <w:color w:val="222222"/>
          <w:sz w:val="21"/>
          <w:szCs w:val="21"/>
        </w:rPr>
        <w:t xml:space="preserve">AI adoption — AI workloads cited as driving 40%+ of new global data centre demand, requiring high-density GPU clusters and liquid cooling.</w:t>
      </w:r>
    </w:p>
    <w:p>
      <w:pPr>
        <w:pStyle w:val="ListParagraph"/>
        <w:numPr>
          <w:ilvl w:val="0"/>
          <w:numId w:val="1"/>
        </w:numPr>
        <w:spacing w:after="90" w:line="264"/>
      </w:pPr>
      <w:r>
        <w:rPr>
          <w:rFonts w:ascii="Calibri" w:cs="Calibri" w:eastAsia="Calibri" w:hAnsi="Calibri"/>
          <w:color w:val="222222"/>
          <w:sz w:val="21"/>
          <w:szCs w:val="21"/>
        </w:rPr>
        <w:t xml:space="preserve">Cloud migration — continued enterprise shift from on-premise to cloud infrastructure.</w:t>
      </w:r>
    </w:p>
    <w:p>
      <w:pPr>
        <w:pStyle w:val="ListParagraph"/>
        <w:numPr>
          <w:ilvl w:val="0"/>
          <w:numId w:val="1"/>
        </w:numPr>
        <w:spacing w:after="90" w:line="264"/>
      </w:pPr>
      <w:r>
        <w:rPr>
          <w:rFonts w:ascii="Calibri" w:cs="Calibri" w:eastAsia="Calibri" w:hAnsi="Calibri"/>
          <w:color w:val="222222"/>
          <w:sz w:val="21"/>
          <w:szCs w:val="21"/>
        </w:rPr>
        <w:t xml:space="preserve">Data localisation — the Digital Personal Data Protection (DPDP) Act, 2023 is cited as a driver of domestic data-residency demand; the specific compliance implications should be confirmed with qualified legal counsel.</w:t>
      </w:r>
    </w:p>
    <w:p>
      <w:pPr>
        <w:pStyle w:val="ListParagraph"/>
        <w:numPr>
          <w:ilvl w:val="0"/>
          <w:numId w:val="1"/>
        </w:numPr>
        <w:spacing w:after="90" w:line="264"/>
      </w:pPr>
      <w:r>
        <w:rPr>
          <w:rFonts w:ascii="Calibri" w:cs="Calibri" w:eastAsia="Calibri" w:hAnsi="Calibri"/>
          <w:color w:val="222222"/>
          <w:sz w:val="21"/>
          <w:szCs w:val="21"/>
        </w:rPr>
        <w:t xml:space="preserve">5G &amp; IoT expansion — cited as a potential 10x increase in Telangana data generation by 2028.</w:t>
      </w:r>
    </w:p>
    <w:p>
      <w:pPr>
        <w:pStyle w:val="Heading2"/>
        <w:spacing w:after="140" w:before="320"/>
      </w:pPr>
      <w:r>
        <w:rPr>
          <w:rFonts w:ascii="Calibri" w:cs="Calibri" w:eastAsia="Calibri" w:hAnsi="Calibri"/>
          <w:b/>
          <w:bCs/>
          <w:color w:val="1B2A4A"/>
          <w:sz w:val="24"/>
          <w:szCs w:val="24"/>
        </w:rPr>
        <w:t xml:space="preserve">3.2 Target Customer Segments (as proposed)</w:t>
      </w:r>
    </w:p>
    <w:tbl>
      <w:tblPr>
        <w:tblW w:type="dxa" w:w="9360"/>
        <w:tblBorders>
          <w:top w:val="single" w:color="CFCFCF" w:sz="2"/>
          <w:left w:val="single" w:color="CFCFCF" w:sz="2"/>
          <w:bottom w:val="single" w:color="CFCFCF" w:sz="2"/>
          <w:right w:val="single" w:color="CFCFCF" w:sz="2"/>
          <w:insideH w:val="single" w:color="CFCFCF" w:sz="2"/>
          <w:insideV w:val="single" w:color="CFCFCF" w:sz="2"/>
        </w:tblBorders>
      </w:tblPr>
      <w:tblGrid>
        <w:gridCol w:w="3200"/>
        <w:gridCol w:w="6160"/>
      </w:tblGrid>
      <w:tr>
        <w:trPr>
          <w:tblHeader/>
        </w:trPr>
        <w:tc>
          <w:tcPr>
            <w:tcW w:type="dxa" w:w="320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Segment</w:t>
            </w:r>
          </w:p>
        </w:tc>
        <w:tc>
          <w:tcPr>
            <w:tcW w:type="dxa" w:w="616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Aparanji Fit (as claimed)</w:t>
            </w:r>
          </w:p>
        </w:tc>
      </w:tr>
      <w:tr>
        <w:tc>
          <w:tcPr>
            <w:tcW w:type="dxa" w:w="32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Global hyperscalers (AWS, Azure, Google)</w:t>
            </w:r>
          </w:p>
        </w:tc>
        <w:tc>
          <w:tcPr>
            <w:tcW w:type="dxa" w:w="61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50-acre campus enabling phased expansion; tax holiday positioned as attractive</w:t>
            </w:r>
          </w:p>
        </w:tc>
      </w:tr>
      <w:tr>
        <w:tc>
          <w:tcPr>
            <w:tcW w:type="dxa" w:w="32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AI / LLM companies</w:t>
            </w:r>
          </w:p>
        </w:tc>
        <w:tc>
          <w:tcPr>
            <w:tcW w:type="dxa" w:w="61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Water, power and space cited as sufficient for large GPU clusters</w:t>
            </w:r>
          </w:p>
        </w:tc>
      </w:tr>
      <w:tr>
        <w:tc>
          <w:tcPr>
            <w:tcW w:type="dxa" w:w="32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Defence &amp; sovereign cloud</w:t>
            </w:r>
          </w:p>
        </w:tc>
        <w:tc>
          <w:tcPr>
            <w:tcW w:type="dxa" w:w="61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Proximity to defence establishments cited as a differentiator</w:t>
            </w:r>
          </w:p>
        </w:tc>
      </w:tr>
      <w:tr>
        <w:tc>
          <w:tcPr>
            <w:tcW w:type="dxa" w:w="32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BFSI &amp; UPI infrastructure</w:t>
            </w:r>
          </w:p>
        </w:tc>
        <w:tc>
          <w:tcPr>
            <w:tcW w:type="dxa" w:w="61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Dual grid and fibre diversity cited to support high-uptime requirements</w:t>
            </w:r>
          </w:p>
        </w:tc>
      </w:tr>
      <w:tr>
        <w:tc>
          <w:tcPr>
            <w:tcW w:type="dxa" w:w="32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Telangana Government</w:t>
            </w:r>
          </w:p>
        </w:tc>
        <w:tc>
          <w:tcPr>
            <w:tcW w:type="dxa" w:w="61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Cited alignment with state AI City initiative and 5 GW target</w:t>
            </w:r>
          </w:p>
        </w:tc>
      </w:tr>
    </w:tbl>
    <w:p>
      <w:pPr>
        <w:spacing w:after="160" w:line="276"/>
        <w:jc w:val="both"/>
      </w:pPr>
      <w:r>
        <w:rPr>
          <w:rFonts w:ascii="Calibri" w:cs="Calibri" w:eastAsia="Calibri" w:hAnsi="Calibri"/>
          <w:color w:val="222222"/>
          <w:sz w:val="21"/>
          <w:szCs w:val="21"/>
        </w:rPr>
        <w:t xml:space="preserve">Revenue potential for each segment is discussed in Section 6 (Financial Projections). All segment-level revenue figures are illustrative projections from the source proposal and have not been independently validated against signed leases, letters of intent, or market studies.</w:t>
      </w:r>
    </w:p>
    <w:p>
      <w:pPr>
        <w:spacing w:after="200" w:before="60"/>
      </w:pPr>
      <w:r>
        <w:rPr>
          <w:rFonts w:ascii="Calibri" w:cs="Calibri" w:eastAsia="Calibri" w:hAnsi="Calibri"/>
          <w:i/>
          <w:iCs/>
          <w:color w:val="6E6E6E"/>
          <w:sz w:val="16"/>
          <w:szCs w:val="16"/>
        </w:rPr>
        <w:t xml:space="preserve">Source: Industry reports and Telangana government officials, as cited in the source proposal, June 2026</w:t>
      </w:r>
    </w:p>
    <w:p>
      <w:r>
        <w:br w:type="page"/>
      </w:r>
    </w:p>
    <w:p>
      <w:pPr>
        <w:pStyle w:val="Heading1"/>
        <w:pBdr>
          <w:bottom w:val="single" w:color="B8862E" w:sz="6" w:space="6"/>
        </w:pBdr>
        <w:spacing w:after="200" w:before="480"/>
      </w:pPr>
      <w:r>
        <w:rPr>
          <w:rFonts w:ascii="Georgia" w:cs="Georgia" w:eastAsia="Georgia" w:hAnsi="Georgia"/>
          <w:b/>
          <w:bCs/>
          <w:color w:val="1B2A4A"/>
          <w:sz w:val="30"/>
          <w:szCs w:val="30"/>
        </w:rPr>
        <w:t xml:space="preserve">4.  </w:t>
      </w:r>
      <w:r>
        <w:rPr>
          <w:rFonts w:ascii="Georgia" w:cs="Georgia" w:eastAsia="Georgia" w:hAnsi="Georgia"/>
          <w:b/>
          <w:bCs/>
          <w:color w:val="1B2A4A"/>
          <w:sz w:val="30"/>
          <w:szCs w:val="30"/>
        </w:rPr>
        <w:t xml:space="preserve">Policy &amp; Tax Framework</w:t>
      </w:r>
    </w:p>
    <w:p>
      <w:pPr>
        <w:spacing w:after="160" w:line="276"/>
        <w:jc w:val="both"/>
      </w:pPr>
      <w:r>
        <w:rPr>
          <w:rFonts w:ascii="Calibri" w:cs="Calibri" w:eastAsia="Calibri" w:hAnsi="Calibri"/>
          <w:color w:val="222222"/>
          <w:sz w:val="21"/>
          <w:szCs w:val="21"/>
        </w:rPr>
        <w:t xml:space="preserve">The source proposal describes a set of central and state-level policy measures that it characterises as favourable to the project's economics. Tax and regulatory positions summarised below are presented exactly as characterised in the source material. They are general in nature, may not apply to this specific project, and must be verified with qualified tax and legal counsel before being relied upon.</w:t>
      </w:r>
    </w:p>
    <w:p>
      <w:pPr>
        <w:pStyle w:val="Heading2"/>
        <w:spacing w:after="140" w:before="320"/>
      </w:pPr>
      <w:r>
        <w:rPr>
          <w:rFonts w:ascii="Calibri" w:cs="Calibri" w:eastAsia="Calibri" w:hAnsi="Calibri"/>
          <w:b/>
          <w:bCs/>
          <w:color w:val="1B2A4A"/>
          <w:sz w:val="24"/>
          <w:szCs w:val="24"/>
        </w:rPr>
        <w:t xml:space="preserve">4.1 Central Government Measures (as described in source)</w:t>
      </w:r>
    </w:p>
    <w:p>
      <w:pPr>
        <w:spacing w:after="100" w:before="200"/>
      </w:pPr>
      <w:r>
        <w:rPr>
          <w:rFonts w:ascii="Calibri" w:cs="Calibri" w:eastAsia="Calibri" w:hAnsi="Calibri"/>
          <w:b/>
          <w:bCs/>
          <w:color w:val="B8862E"/>
          <w:sz w:val="21"/>
          <w:szCs w:val="21"/>
        </w:rPr>
        <w:t xml:space="preserve">A. Tax Holiday for Foreign Cloud Providers</w:t>
      </w:r>
    </w:p>
    <w:p>
      <w:pPr>
        <w:pStyle w:val="ListParagraph"/>
        <w:numPr>
          <w:ilvl w:val="0"/>
          <w:numId w:val="1"/>
        </w:numPr>
        <w:spacing w:after="90" w:line="264"/>
      </w:pPr>
      <w:r>
        <w:rPr>
          <w:rFonts w:ascii="Calibri" w:cs="Calibri" w:eastAsia="Calibri" w:hAnsi="Calibri"/>
          <w:color w:val="222222"/>
          <w:sz w:val="21"/>
          <w:szCs w:val="21"/>
        </w:rPr>
        <w:t xml:space="preserve">Cited exemption from Indian income tax for foreign cloud/AI providers using Indian data centres.</w:t>
      </w:r>
    </w:p>
    <w:p>
      <w:pPr>
        <w:pStyle w:val="ListParagraph"/>
        <w:numPr>
          <w:ilvl w:val="0"/>
          <w:numId w:val="1"/>
        </w:numPr>
        <w:spacing w:after="90" w:line="264"/>
      </w:pPr>
      <w:r>
        <w:rPr>
          <w:rFonts w:ascii="Calibri" w:cs="Calibri" w:eastAsia="Calibri" w:hAnsi="Calibri"/>
          <w:color w:val="222222"/>
          <w:sz w:val="21"/>
          <w:szCs w:val="21"/>
        </w:rPr>
        <w:t xml:space="preserve">Cited duration: 20 years, until March 31, 2047.</w:t>
      </w:r>
    </w:p>
    <w:p>
      <w:pPr>
        <w:pStyle w:val="ListParagraph"/>
        <w:numPr>
          <w:ilvl w:val="0"/>
          <w:numId w:val="1"/>
        </w:numPr>
        <w:spacing w:after="90" w:line="264"/>
      </w:pPr>
      <w:r>
        <w:rPr>
          <w:rFonts w:ascii="Calibri" w:cs="Calibri" w:eastAsia="Calibri" w:hAnsi="Calibri"/>
          <w:color w:val="222222"/>
          <w:sz w:val="21"/>
          <w:szCs w:val="21"/>
        </w:rPr>
        <w:t xml:space="preserve">Conditional on qualifying as a "Specified Data Centre" under a MeitY notification and selling via an Indian reseller entity.</w:t>
      </w:r>
    </w:p>
    <w:p>
      <w:pPr>
        <w:spacing w:after="100" w:before="200"/>
      </w:pPr>
      <w:r>
        <w:rPr>
          <w:rFonts w:ascii="Calibri" w:cs="Calibri" w:eastAsia="Calibri" w:hAnsi="Calibri"/>
          <w:b/>
          <w:bCs/>
          <w:color w:val="B8862E"/>
          <w:sz w:val="21"/>
          <w:szCs w:val="21"/>
        </w:rPr>
        <w:t xml:space="preserve">B. Safe Harbour Regime</w:t>
      </w:r>
    </w:p>
    <w:p>
      <w:pPr>
        <w:pStyle w:val="ListParagraph"/>
        <w:numPr>
          <w:ilvl w:val="0"/>
          <w:numId w:val="1"/>
        </w:numPr>
        <w:spacing w:after="90" w:line="264"/>
      </w:pPr>
      <w:r>
        <w:rPr>
          <w:rFonts w:ascii="Calibri" w:cs="Calibri" w:eastAsia="Calibri" w:hAnsi="Calibri"/>
          <w:color w:val="222222"/>
          <w:sz w:val="21"/>
          <w:szCs w:val="21"/>
        </w:rPr>
        <w:t xml:space="preserve">Cited 15% safe-harbour margin on cost for related-party transactions between an Indian data centre and a foreign parent/group company.</w:t>
      </w:r>
    </w:p>
    <w:p>
      <w:pPr>
        <w:pStyle w:val="ListParagraph"/>
        <w:numPr>
          <w:ilvl w:val="0"/>
          <w:numId w:val="1"/>
        </w:numPr>
        <w:spacing w:after="90" w:line="264"/>
      </w:pPr>
      <w:r>
        <w:rPr>
          <w:rFonts w:ascii="Calibri" w:cs="Calibri" w:eastAsia="Calibri" w:hAnsi="Calibri"/>
          <w:color w:val="222222"/>
          <w:sz w:val="21"/>
          <w:szCs w:val="21"/>
        </w:rPr>
        <w:t xml:space="preserve">Cited threshold expansion to INR 20 billion (from INR 3 billion).</w:t>
      </w:r>
    </w:p>
    <w:p>
      <w:pPr>
        <w:spacing w:after="100" w:before="200"/>
      </w:pPr>
      <w:r>
        <w:rPr>
          <w:rFonts w:ascii="Calibri" w:cs="Calibri" w:eastAsia="Calibri" w:hAnsi="Calibri"/>
          <w:b/>
          <w:bCs/>
          <w:color w:val="B8862E"/>
          <w:sz w:val="21"/>
          <w:szCs w:val="21"/>
        </w:rPr>
        <w:t xml:space="preserve">C. Infrastructure Status &amp; FDI</w:t>
      </w:r>
    </w:p>
    <w:p>
      <w:pPr>
        <w:pStyle w:val="ListParagraph"/>
        <w:numPr>
          <w:ilvl w:val="0"/>
          <w:numId w:val="1"/>
        </w:numPr>
        <w:spacing w:after="90" w:line="264"/>
      </w:pPr>
      <w:r>
        <w:rPr>
          <w:rFonts w:ascii="Calibri" w:cs="Calibri" w:eastAsia="Calibri" w:hAnsi="Calibri"/>
          <w:color w:val="222222"/>
          <w:sz w:val="21"/>
          <w:szCs w:val="21"/>
        </w:rPr>
        <w:t xml:space="preserve">Data centres with minimum 5 MW IT load cited as eligible for Infrastructure Sub-sector status, potentially enabling 15-20 year financing at lower rates.</w:t>
      </w:r>
    </w:p>
    <w:p>
      <w:pPr>
        <w:pStyle w:val="ListParagraph"/>
        <w:numPr>
          <w:ilvl w:val="0"/>
          <w:numId w:val="1"/>
        </w:numPr>
        <w:spacing w:after="90" w:line="264"/>
      </w:pPr>
      <w:r>
        <w:rPr>
          <w:rFonts w:ascii="Calibri" w:cs="Calibri" w:eastAsia="Calibri" w:hAnsi="Calibri"/>
          <w:color w:val="222222"/>
          <w:sz w:val="21"/>
          <w:szCs w:val="21"/>
        </w:rPr>
        <w:t xml:space="preserve">Cited ECB eligibility, priority-sector lending, and 100% FDI under the automatic route.</w:t>
      </w:r>
    </w:p>
    <w:p>
      <w:pPr>
        <w:pStyle w:val="Heading2"/>
        <w:spacing w:after="140" w:before="320"/>
      </w:pPr>
      <w:r>
        <w:rPr>
          <w:rFonts w:ascii="Calibri" w:cs="Calibri" w:eastAsia="Calibri" w:hAnsi="Calibri"/>
          <w:b/>
          <w:bCs/>
          <w:color w:val="1B2A4A"/>
          <w:sz w:val="24"/>
          <w:szCs w:val="24"/>
        </w:rPr>
        <w:t xml:space="preserve">4.2 Additional Tax Provisions Referenced</w:t>
      </w:r>
    </w:p>
    <w:tbl>
      <w:tblPr>
        <w:tblW w:type="dxa" w:w="9360"/>
        <w:tblBorders>
          <w:top w:val="single" w:color="CFCFCF" w:sz="2"/>
          <w:left w:val="single" w:color="CFCFCF" w:sz="2"/>
          <w:bottom w:val="single" w:color="CFCFCF" w:sz="2"/>
          <w:right w:val="single" w:color="CFCFCF" w:sz="2"/>
          <w:insideH w:val="single" w:color="CFCFCF" w:sz="2"/>
          <w:insideV w:val="single" w:color="CFCFCF" w:sz="2"/>
        </w:tblBorders>
      </w:tblPr>
      <w:tblGrid>
        <w:gridCol w:w="2400"/>
        <w:gridCol w:w="2800"/>
        <w:gridCol w:w="4160"/>
      </w:tblGrid>
      <w:tr>
        <w:trPr>
          <w:tblHeader/>
        </w:trPr>
        <w:tc>
          <w:tcPr>
            <w:tcW w:type="dxa" w:w="240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Provision</w:t>
            </w:r>
          </w:p>
        </w:tc>
        <w:tc>
          <w:tcPr>
            <w:tcW w:type="dxa" w:w="280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Source (as cited)</w:t>
            </w:r>
          </w:p>
        </w:tc>
        <w:tc>
          <w:tcPr>
            <w:tcW w:type="dxa" w:w="416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Applicability (as cited)</w:t>
            </w:r>
          </w:p>
        </w:tc>
      </w:tr>
      <w:tr>
        <w:tc>
          <w:tcPr>
            <w:tcW w:type="dxa" w:w="24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Section 80-IAC</w:t>
            </w:r>
          </w:p>
        </w:tc>
        <w:tc>
          <w:tcPr>
            <w:tcW w:type="dxa" w:w="28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Income Tax Act</w:t>
            </w:r>
          </w:p>
        </w:tc>
        <w:tc>
          <w:tcPr>
            <w:tcW w:type="dxa" w:w="41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For a DPIIT-recognised startup subsidiary, if applicable</w:t>
            </w:r>
          </w:p>
        </w:tc>
      </w:tr>
      <w:tr>
        <w:tc>
          <w:tcPr>
            <w:tcW w:type="dxa" w:w="24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SEZ Benefits</w:t>
            </w:r>
          </w:p>
        </w:tc>
        <w:tc>
          <w:tcPr>
            <w:tcW w:type="dxa" w:w="28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SEZ Act</w:t>
            </w:r>
          </w:p>
        </w:tc>
        <w:tc>
          <w:tcPr>
            <w:tcW w:type="dxa" w:w="41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If developed as an SEZ</w:t>
            </w:r>
          </w:p>
        </w:tc>
      </w:tr>
      <w:tr>
        <w:tc>
          <w:tcPr>
            <w:tcW w:type="dxa" w:w="24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GST Input Credit</w:t>
            </w:r>
          </w:p>
        </w:tc>
        <w:tc>
          <w:tcPr>
            <w:tcW w:type="dxa" w:w="28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GST Act</w:t>
            </w:r>
          </w:p>
        </w:tc>
        <w:tc>
          <w:tcPr>
            <w:tcW w:type="dxa" w:w="41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Construction, equipment and services</w:t>
            </w:r>
          </w:p>
        </w:tc>
      </w:tr>
      <w:tr>
        <w:tc>
          <w:tcPr>
            <w:tcW w:type="dxa" w:w="24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Accelerated Depreciation</w:t>
            </w:r>
          </w:p>
        </w:tc>
        <w:tc>
          <w:tcPr>
            <w:tcW w:type="dxa" w:w="28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Income Tax Act / Companies Act</w:t>
            </w:r>
          </w:p>
        </w:tc>
        <w:tc>
          <w:tcPr>
            <w:tcW w:type="dxa" w:w="41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Plant &amp; machinery</w:t>
            </w:r>
          </w:p>
        </w:tc>
      </w:tr>
    </w:tbl>
    <w:p>
      <w:pPr>
        <w:pStyle w:val="Heading2"/>
        <w:spacing w:after="140" w:before="320"/>
      </w:pPr>
      <w:r>
        <w:rPr>
          <w:rFonts w:ascii="Calibri" w:cs="Calibri" w:eastAsia="Calibri" w:hAnsi="Calibri"/>
          <w:b/>
          <w:bCs/>
          <w:color w:val="1B2A4A"/>
          <w:sz w:val="24"/>
          <w:szCs w:val="24"/>
        </w:rPr>
        <w:t xml:space="preserve">4.3 Telangana State Incentives (as cited)</w:t>
      </w:r>
    </w:p>
    <w:tbl>
      <w:tblPr>
        <w:tblW w:type="dxa" w:w="9360"/>
        <w:tblBorders>
          <w:top w:val="single" w:color="CFCFCF" w:sz="2"/>
          <w:left w:val="single" w:color="CFCFCF" w:sz="2"/>
          <w:bottom w:val="single" w:color="CFCFCF" w:sz="2"/>
          <w:right w:val="single" w:color="CFCFCF" w:sz="2"/>
          <w:insideH w:val="single" w:color="CFCFCF" w:sz="2"/>
          <w:insideV w:val="single" w:color="CFCFCF" w:sz="2"/>
        </w:tblBorders>
      </w:tblPr>
      <w:tblGrid>
        <w:gridCol w:w="2800"/>
        <w:gridCol w:w="4560"/>
        <w:gridCol w:w="2000"/>
      </w:tblGrid>
      <w:tr>
        <w:trPr>
          <w:tblHeader/>
        </w:trPr>
        <w:tc>
          <w:tcPr>
            <w:tcW w:type="dxa" w:w="280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Incentive</w:t>
            </w:r>
          </w:p>
        </w:tc>
        <w:tc>
          <w:tcPr>
            <w:tcW w:type="dxa" w:w="456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Cited Benefit</w:t>
            </w:r>
          </w:p>
        </w:tc>
        <w:tc>
          <w:tcPr>
            <w:tcW w:type="dxa" w:w="200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Type</w:t>
            </w:r>
          </w:p>
        </w:tc>
      </w:tr>
      <w:tr>
        <w:tc>
          <w:tcPr>
            <w:tcW w:type="dxa" w:w="28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Power Subsidy</w:t>
            </w:r>
          </w:p>
        </w:tc>
        <w:tc>
          <w:tcPr>
            <w:tcW w:type="dxa" w:w="45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Subsidised tariffs; renewable open access</w:t>
            </w:r>
          </w:p>
        </w:tc>
        <w:tc>
          <w:tcPr>
            <w:tcW w:type="dxa" w:w="20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Recurring</w:t>
            </w:r>
          </w:p>
        </w:tc>
      </w:tr>
      <w:tr>
        <w:tc>
          <w:tcPr>
            <w:tcW w:type="dxa" w:w="28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Dual Grid Power</w:t>
            </w:r>
          </w:p>
        </w:tc>
        <w:tc>
          <w:tcPr>
            <w:tcW w:type="dxa" w:w="45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Redundant supply via state dual-grid program</w:t>
            </w:r>
          </w:p>
        </w:tc>
        <w:tc>
          <w:tcPr>
            <w:tcW w:type="dxa" w:w="20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One-time (capital)</w:t>
            </w:r>
          </w:p>
        </w:tc>
      </w:tr>
      <w:tr>
        <w:tc>
          <w:tcPr>
            <w:tcW w:type="dxa" w:w="28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Stamp Duty Reimbursement</w:t>
            </w:r>
          </w:p>
        </w:tc>
        <w:tc>
          <w:tcPr>
            <w:tcW w:type="dxa" w:w="45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On land transfer/registration</w:t>
            </w:r>
          </w:p>
        </w:tc>
        <w:tc>
          <w:tcPr>
            <w:tcW w:type="dxa" w:w="20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One-time</w:t>
            </w:r>
          </w:p>
        </w:tc>
      </w:tr>
      <w:tr>
        <w:tc>
          <w:tcPr>
            <w:tcW w:type="dxa" w:w="28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Lease Rental Subsidy</w:t>
            </w:r>
          </w:p>
        </w:tc>
        <w:tc>
          <w:tcPr>
            <w:tcW w:type="dxa" w:w="45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25% for 3 years (cited)</w:t>
            </w:r>
          </w:p>
        </w:tc>
        <w:tc>
          <w:tcPr>
            <w:tcW w:type="dxa" w:w="20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Recurring (3 yrs)</w:t>
            </w:r>
          </w:p>
        </w:tc>
      </w:tr>
      <w:tr>
        <w:tc>
          <w:tcPr>
            <w:tcW w:type="dxa" w:w="28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Building Fee Rebate</w:t>
            </w:r>
          </w:p>
        </w:tc>
        <w:tc>
          <w:tcPr>
            <w:tcW w:type="dxa" w:w="45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Up to 50% on plan approval costs</w:t>
            </w:r>
          </w:p>
        </w:tc>
        <w:tc>
          <w:tcPr>
            <w:tcW w:type="dxa" w:w="20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One-time</w:t>
            </w:r>
          </w:p>
        </w:tc>
      </w:tr>
      <w:tr>
        <w:tc>
          <w:tcPr>
            <w:tcW w:type="dxa" w:w="28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Fuel Subsidy</w:t>
            </w:r>
          </w:p>
        </w:tc>
        <w:tc>
          <w:tcPr>
            <w:tcW w:type="dxa" w:w="45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For backup generators</w:t>
            </w:r>
          </w:p>
        </w:tc>
        <w:tc>
          <w:tcPr>
            <w:tcW w:type="dxa" w:w="20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Recurring</w:t>
            </w:r>
          </w:p>
        </w:tc>
      </w:tr>
      <w:tr>
        <w:tc>
          <w:tcPr>
            <w:tcW w:type="dxa" w:w="28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Capital Investment Support</w:t>
            </w:r>
          </w:p>
        </w:tc>
        <w:tc>
          <w:tcPr>
            <w:tcW w:type="dxa" w:w="45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Project-specific</w:t>
            </w:r>
          </w:p>
        </w:tc>
        <w:tc>
          <w:tcPr>
            <w:tcW w:type="dxa" w:w="20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One-time</w:t>
            </w:r>
          </w:p>
        </w:tc>
      </w:tr>
      <w:tr>
        <w:tc>
          <w:tcPr>
            <w:tcW w:type="dxa" w:w="28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TS-iPASS Single Window</w:t>
            </w:r>
          </w:p>
        </w:tc>
        <w:tc>
          <w:tcPr>
            <w:tcW w:type="dxa" w:w="45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Time-bound approvals (30-60 days cited)</w:t>
            </w:r>
          </w:p>
        </w:tc>
        <w:tc>
          <w:tcPr>
            <w:tcW w:type="dxa" w:w="20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Process</w:t>
            </w:r>
          </w:p>
        </w:tc>
      </w:tr>
      <w:tr>
        <w:tc>
          <w:tcPr>
            <w:tcW w:type="dxa" w:w="28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Renewable Energy Access</w:t>
            </w:r>
          </w:p>
        </w:tc>
        <w:tc>
          <w:tcPr>
            <w:tcW w:type="dxa" w:w="45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Open access to solar/wind, banking facility</w:t>
            </w:r>
          </w:p>
        </w:tc>
        <w:tc>
          <w:tcPr>
            <w:tcW w:type="dxa" w:w="20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Strategic</w:t>
            </w:r>
          </w:p>
        </w:tc>
      </w:tr>
      <w:tr>
        <w:tc>
          <w:tcPr>
            <w:tcW w:type="dxa" w:w="28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Internet Bandwidth Reimbursement</w:t>
            </w:r>
          </w:p>
        </w:tc>
        <w:tc>
          <w:tcPr>
            <w:tcW w:type="dxa" w:w="45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25% for first 3 years</w:t>
            </w:r>
          </w:p>
        </w:tc>
        <w:tc>
          <w:tcPr>
            <w:tcW w:type="dxa" w:w="20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Recurring (3 yrs)</w:t>
            </w:r>
          </w:p>
        </w:tc>
      </w:tr>
    </w:tbl>
    <w:p>
      <w:pPr>
        <w:spacing w:after="200" w:before="60"/>
      </w:pPr>
      <w:r>
        <w:rPr>
          <w:rFonts w:ascii="Calibri" w:cs="Calibri" w:eastAsia="Calibri" w:hAnsi="Calibri"/>
          <w:i/>
          <w:iCs/>
          <w:color w:val="6E6E6E"/>
          <w:sz w:val="16"/>
          <w:szCs w:val="16"/>
        </w:rPr>
        <w:t xml:space="preserve">Source: Telangana State Data Centre Policy / TS-iPASS Framework, as cited in the source proposal</w:t>
      </w:r>
    </w:p>
    <w:p>
      <w:pPr>
        <w:spacing w:after="160" w:line="276"/>
        <w:jc w:val="both"/>
      </w:pPr>
      <w:r>
        <w:rPr>
          <w:rFonts w:ascii="Calibri" w:cs="Calibri" w:eastAsia="Calibri" w:hAnsi="Calibri"/>
          <w:color w:val="222222"/>
          <w:sz w:val="21"/>
          <w:szCs w:val="21"/>
        </w:rPr>
        <w:t xml:space="preserve">None of the above policy characterisations should be treated as a legal opinion. Eligibility, quantum, and continuity of any incentive are subject to change by legislative or executive action and must be confirmed directly with the relevant authority or through qualified legal/tax counsel.</w:t>
      </w:r>
    </w:p>
    <w:p>
      <w:r>
        <w:br w:type="page"/>
      </w:r>
    </w:p>
    <w:p>
      <w:pPr>
        <w:pStyle w:val="Heading1"/>
        <w:pBdr>
          <w:bottom w:val="single" w:color="B8862E" w:sz="6" w:space="6"/>
        </w:pBdr>
        <w:spacing w:after="200" w:before="480"/>
      </w:pPr>
      <w:r>
        <w:rPr>
          <w:rFonts w:ascii="Georgia" w:cs="Georgia" w:eastAsia="Georgia" w:hAnsi="Georgia"/>
          <w:b/>
          <w:bCs/>
          <w:color w:val="1B2A4A"/>
          <w:sz w:val="30"/>
          <w:szCs w:val="30"/>
        </w:rPr>
        <w:t xml:space="preserve">5.  </w:t>
      </w:r>
      <w:r>
        <w:rPr>
          <w:rFonts w:ascii="Georgia" w:cs="Georgia" w:eastAsia="Georgia" w:hAnsi="Georgia"/>
          <w:b/>
          <w:bCs/>
          <w:color w:val="1B2A4A"/>
          <w:sz w:val="30"/>
          <w:szCs w:val="30"/>
        </w:rPr>
        <w:t xml:space="preserve">Technical Design</w:t>
      </w:r>
    </w:p>
    <w:p>
      <w:pPr>
        <w:spacing w:after="160" w:line="276"/>
        <w:jc w:val="both"/>
      </w:pPr>
      <w:r>
        <w:rPr>
          <w:rFonts w:ascii="Calibri" w:cs="Calibri" w:eastAsia="Calibri" w:hAnsi="Calibri"/>
          <w:color w:val="222222"/>
          <w:sz w:val="21"/>
          <w:szCs w:val="21"/>
        </w:rPr>
        <w:t xml:space="preserve">The proposal outlines an AI-ready master plan targeting a Power Usage Effectiveness (PUE) below 1.3 through liquid and free cooling, with a phased build spanning three data centre halls. The specifications below are design targets from the source proposal, not final engineering drawings or certified specifications.</w:t>
      </w:r>
    </w:p>
    <w:p>
      <w:pPr>
        <w:pStyle w:val="Heading2"/>
        <w:spacing w:after="140" w:before="320"/>
      </w:pPr>
      <w:r>
        <w:rPr>
          <w:rFonts w:ascii="Calibri" w:cs="Calibri" w:eastAsia="Calibri" w:hAnsi="Calibri"/>
          <w:b/>
          <w:bCs/>
          <w:color w:val="1B2A4A"/>
          <w:sz w:val="24"/>
          <w:szCs w:val="24"/>
        </w:rPr>
        <w:t xml:space="preserve">5.1 Design Parameters (as proposed)</w:t>
      </w:r>
    </w:p>
    <w:tbl>
      <w:tblPr>
        <w:tblW w:type="dxa" w:w="9360"/>
        <w:tblBorders>
          <w:top w:val="single" w:color="CFCFCF" w:sz="2"/>
          <w:left w:val="single" w:color="CFCFCF" w:sz="2"/>
          <w:bottom w:val="single" w:color="CFCFCF" w:sz="2"/>
          <w:right w:val="single" w:color="CFCFCF" w:sz="2"/>
          <w:insideH w:val="single" w:color="CFCFCF" w:sz="2"/>
          <w:insideV w:val="single" w:color="CFCFCF" w:sz="2"/>
        </w:tblBorders>
      </w:tblPr>
      <w:tblGrid>
        <w:gridCol w:w="2600"/>
        <w:gridCol w:w="6760"/>
      </w:tblGrid>
      <w:tr>
        <w:trPr>
          <w:tblHeader/>
        </w:trPr>
        <w:tc>
          <w:tcPr>
            <w:tcW w:type="dxa" w:w="260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Parameter</w:t>
            </w:r>
          </w:p>
        </w:tc>
        <w:tc>
          <w:tcPr>
            <w:tcW w:type="dxa" w:w="676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Specification (as proposed)</w:t>
            </w:r>
          </w:p>
        </w:tc>
      </w:tr>
      <w:tr>
        <w:tc>
          <w:tcPr>
            <w:tcW w:type="dxa" w:w="26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Total IT Load</w:t>
            </w:r>
          </w:p>
        </w:tc>
        <w:tc>
          <w:tcPr>
            <w:tcW w:type="dxa" w:w="67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Phase 1: 20 MW (Hall 1: 10 MW); Phase 2: 50 MW total campus (Halls 2 &amp; 3: 10 MW + 30 MW AI-optimised)</w:t>
            </w:r>
          </w:p>
        </w:tc>
      </w:tr>
      <w:tr>
        <w:tc>
          <w:tcPr>
            <w:tcW w:type="dxa" w:w="26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Power Density</w:t>
            </w:r>
          </w:p>
        </w:tc>
        <w:tc>
          <w:tcPr>
            <w:tcW w:type="dxa" w:w="67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15-25 kW/rack (standard); 50-100 kW/rack (AI pods, direct liquid cooling)</w:t>
            </w:r>
          </w:p>
        </w:tc>
      </w:tr>
      <w:tr>
        <w:tc>
          <w:tcPr>
            <w:tcW w:type="dxa" w:w="26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Cooling System</w:t>
            </w:r>
          </w:p>
        </w:tc>
        <w:tc>
          <w:tcPr>
            <w:tcW w:type="dxa" w:w="67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Hybrid — liquid cooling for AI clusters, air-cooled for standard workloads; PUE target &lt;1.3</w:t>
            </w:r>
          </w:p>
        </w:tc>
      </w:tr>
      <w:tr>
        <w:tc>
          <w:tcPr>
            <w:tcW w:type="dxa" w:w="26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Security / Certification Targets</w:t>
            </w:r>
          </w:p>
        </w:tc>
        <w:tc>
          <w:tcPr>
            <w:tcW w:type="dxa" w:w="67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ISO 27001, SOC 2 Type II, PCI DSS, RBI-readiness, Tier III+ (Uptime), IGBC Platinum, MeitY "Specified Data Centre" status</w:t>
            </w:r>
          </w:p>
        </w:tc>
      </w:tr>
      <w:tr>
        <w:tc>
          <w:tcPr>
            <w:tcW w:type="dxa" w:w="26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Campus Components</w:t>
            </w:r>
          </w:p>
        </w:tc>
        <w:tc>
          <w:tcPr>
            <w:tcW w:type="dxa" w:w="67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3 DC halls, 220kV dual-feed substation, 10 MW solar farm, water treatment &amp; cooling towers, NOC/admin building, SOC, 7-day diesel fuel farm</w:t>
            </w:r>
          </w:p>
        </w:tc>
      </w:tr>
      <w:tr>
        <w:tc>
          <w:tcPr>
            <w:tcW w:type="dxa" w:w="26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Network Backbone</w:t>
            </w:r>
          </w:p>
        </w:tc>
        <w:tc>
          <w:tcPr>
            <w:tcW w:type="dxa" w:w="67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100G/400G fibre; InfiniBand and high-speed Ethernet readiness; dual diverse fibre entry paths</w:t>
            </w:r>
          </w:p>
        </w:tc>
      </w:tr>
      <w:tr>
        <w:tc>
          <w:tcPr>
            <w:tcW w:type="dxa" w:w="26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Renewable Energy</w:t>
            </w:r>
          </w:p>
        </w:tc>
        <w:tc>
          <w:tcPr>
            <w:tcW w:type="dxa" w:w="67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10 MW on-site solar plus open-access wind/solar and energy banking</w:t>
            </w:r>
          </w:p>
        </w:tc>
      </w:tr>
      <w:tr>
        <w:tc>
          <w:tcPr>
            <w:tcW w:type="dxa" w:w="26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Smart Operations</w:t>
            </w:r>
          </w:p>
        </w:tc>
        <w:tc>
          <w:tcPr>
            <w:tcW w:type="dxa" w:w="67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AI-driven DCIM for power/cooling optimisation; modular pre-fab halls targeting ~6-month deployment</w:t>
            </w:r>
          </w:p>
        </w:tc>
      </w:tr>
    </w:tbl>
    <w:p>
      <w:pPr>
        <w:spacing w:after="200" w:before="60"/>
      </w:pPr>
      <w:r>
        <w:rPr>
          <w:rFonts w:ascii="Calibri" w:cs="Calibri" w:eastAsia="Calibri" w:hAnsi="Calibri"/>
          <w:i/>
          <w:iCs/>
          <w:color w:val="6E6E6E"/>
          <w:sz w:val="16"/>
          <w:szCs w:val="16"/>
        </w:rPr>
        <w:t xml:space="preserve">Source: Sri Sri Aparanji AI Data Centre Proposal, Technical Specifications Section — design targets, subject to detailed engineering</w:t>
      </w:r>
    </w:p>
    <w:p>
      <w:pPr>
        <w:pStyle w:val="Heading2"/>
        <w:spacing w:after="140" w:before="320"/>
      </w:pPr>
      <w:r>
        <w:rPr>
          <w:rFonts w:ascii="Calibri" w:cs="Calibri" w:eastAsia="Calibri" w:hAnsi="Calibri"/>
          <w:b/>
          <w:bCs/>
          <w:color w:val="1B2A4A"/>
          <w:sz w:val="24"/>
          <w:szCs w:val="24"/>
        </w:rPr>
        <w:t xml:space="preserve">5.2 AI-Readiness Features (as proposed)</w:t>
      </w:r>
    </w:p>
    <w:p>
      <w:pPr>
        <w:pStyle w:val="ListParagraph"/>
        <w:numPr>
          <w:ilvl w:val="0"/>
          <w:numId w:val="1"/>
        </w:numPr>
        <w:spacing w:after="90" w:line="264"/>
      </w:pPr>
      <w:r>
        <w:rPr>
          <w:rFonts w:ascii="Calibri" w:cs="Calibri" w:eastAsia="Calibri" w:hAnsi="Calibri"/>
          <w:color w:val="222222"/>
          <w:sz w:val="21"/>
          <w:szCs w:val="21"/>
        </w:rPr>
        <w:t xml:space="preserve">High-density racks at a stated 80-100 kW/rack using direct liquid cooling manifolds, intended for NVIDIA H100/H200-class GPU clusters.</w:t>
      </w:r>
    </w:p>
    <w:p>
      <w:pPr>
        <w:pStyle w:val="ListParagraph"/>
        <w:numPr>
          <w:ilvl w:val="0"/>
          <w:numId w:val="1"/>
        </w:numPr>
        <w:spacing w:after="90" w:line="264"/>
      </w:pPr>
      <w:r>
        <w:rPr>
          <w:rFonts w:ascii="Calibri" w:cs="Calibri" w:eastAsia="Calibri" w:hAnsi="Calibri"/>
          <w:color w:val="222222"/>
          <w:sz w:val="21"/>
          <w:szCs w:val="21"/>
        </w:rPr>
        <w:t xml:space="preserve">2N power architecture proposed for AI training workloads; InfiniBand and RoCE support for GPU cluster interconnects.</w:t>
      </w:r>
    </w:p>
    <w:p>
      <w:pPr>
        <w:pStyle w:val="ListParagraph"/>
        <w:numPr>
          <w:ilvl w:val="0"/>
          <w:numId w:val="1"/>
        </w:numPr>
        <w:spacing w:after="90" w:line="264"/>
      </w:pPr>
      <w:r>
        <w:rPr>
          <w:rFonts w:ascii="Calibri" w:cs="Calibri" w:eastAsia="Calibri" w:hAnsi="Calibri"/>
          <w:color w:val="222222"/>
          <w:sz w:val="21"/>
          <w:szCs w:val="21"/>
        </w:rPr>
        <w:t xml:space="preserve">Dual diverse fibre paths proposed to support high-uptime targets and sub-10ms latency claims to the city core.</w:t>
      </w:r>
    </w:p>
    <w:p>
      <w:pPr>
        <w:pStyle w:val="ListParagraph"/>
        <w:numPr>
          <w:ilvl w:val="0"/>
          <w:numId w:val="1"/>
        </w:numPr>
        <w:spacing w:after="90" w:line="264"/>
      </w:pPr>
      <w:r>
        <w:rPr>
          <w:rFonts w:ascii="Calibri" w:cs="Calibri" w:eastAsia="Calibri" w:hAnsi="Calibri"/>
          <w:color w:val="222222"/>
          <w:sz w:val="21"/>
          <w:szCs w:val="21"/>
        </w:rPr>
        <w:t xml:space="preserve">Predictive maintenance and real-time power/cooling optimisation proposed via AI-driven DCIM tooling.</w:t>
      </w:r>
    </w:p>
    <w:p>
      <w:pPr>
        <w:pStyle w:val="ListParagraph"/>
        <w:numPr>
          <w:ilvl w:val="0"/>
          <w:numId w:val="1"/>
        </w:numPr>
        <w:spacing w:after="90" w:line="264"/>
      </w:pPr>
      <w:r>
        <w:rPr>
          <w:rFonts w:ascii="Calibri" w:cs="Calibri" w:eastAsia="Calibri" w:hAnsi="Calibri"/>
          <w:color w:val="222222"/>
          <w:sz w:val="21"/>
          <w:szCs w:val="21"/>
        </w:rPr>
        <w:t xml:space="preserve">Pre-fabricated modular design targeting a 6-month deployment cycle per hall, versus a stated 18-24 months for traditional builds — an assumption that should be pressure-tested against realistic construction and commissioning timelines.</w:t>
      </w:r>
    </w:p>
    <w:p>
      <w:pPr>
        <w:pStyle w:val="Heading2"/>
        <w:spacing w:after="140" w:before="320"/>
      </w:pPr>
      <w:r>
        <w:rPr>
          <w:rFonts w:ascii="Calibri" w:cs="Calibri" w:eastAsia="Calibri" w:hAnsi="Calibri"/>
          <w:b/>
          <w:bCs/>
          <w:color w:val="1B2A4A"/>
          <w:sz w:val="24"/>
          <w:szCs w:val="24"/>
        </w:rPr>
        <w:t xml:space="preserve">5.3 Proposed Energy Mix</w:t>
      </w:r>
    </w:p>
    <w:tbl>
      <w:tblPr>
        <w:tblW w:type="dxa" w:w="9360"/>
        <w:tblBorders>
          <w:top w:val="single" w:color="CFCFCF" w:sz="2"/>
          <w:left w:val="single" w:color="CFCFCF" w:sz="2"/>
          <w:bottom w:val="single" w:color="CFCFCF" w:sz="2"/>
          <w:right w:val="single" w:color="CFCFCF" w:sz="2"/>
          <w:insideH w:val="single" w:color="CFCFCF" w:sz="2"/>
          <w:insideV w:val="single" w:color="CFCFCF" w:sz="2"/>
        </w:tblBorders>
      </w:tblPr>
      <w:tblGrid>
        <w:gridCol w:w="4680"/>
        <w:gridCol w:w="4680"/>
      </w:tblGrid>
      <w:tr>
        <w:trPr>
          <w:tblHeader/>
        </w:trPr>
        <w:tc>
          <w:tcPr>
            <w:tcW w:type="dxa" w:w="468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Source</w:t>
            </w:r>
          </w:p>
        </w:tc>
        <w:tc>
          <w:tcPr>
            <w:tcW w:type="dxa" w:w="468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Share (as proposed)</w:t>
            </w:r>
          </w:p>
        </w:tc>
      </w:tr>
      <w:tr>
        <w:tc>
          <w:tcPr>
            <w:tcW w:type="dxa" w:w="468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On-site Solar</w:t>
            </w:r>
          </w:p>
        </w:tc>
        <w:tc>
          <w:tcPr>
            <w:tcW w:type="dxa" w:w="468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35%</w:t>
            </w:r>
          </w:p>
        </w:tc>
      </w:tr>
      <w:tr>
        <w:tc>
          <w:tcPr>
            <w:tcW w:type="dxa" w:w="468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Grid Renewable</w:t>
            </w:r>
          </w:p>
        </w:tc>
        <w:tc>
          <w:tcPr>
            <w:tcW w:type="dxa" w:w="468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40%</w:t>
            </w:r>
          </w:p>
        </w:tc>
      </w:tr>
      <w:tr>
        <w:tc>
          <w:tcPr>
            <w:tcW w:type="dxa" w:w="468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Grid Conventional</w:t>
            </w:r>
          </w:p>
        </w:tc>
        <w:tc>
          <w:tcPr>
            <w:tcW w:type="dxa" w:w="468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20%</w:t>
            </w:r>
          </w:p>
        </w:tc>
      </w:tr>
      <w:tr>
        <w:tc>
          <w:tcPr>
            <w:tcW w:type="dxa" w:w="468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Diesel Backup</w:t>
            </w:r>
          </w:p>
        </w:tc>
        <w:tc>
          <w:tcPr>
            <w:tcW w:type="dxa" w:w="468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5%</w:t>
            </w:r>
          </w:p>
        </w:tc>
      </w:tr>
    </w:tbl>
    <w:p>
      <w:r>
        <w:br w:type="page"/>
      </w:r>
    </w:p>
    <w:p>
      <w:pPr>
        <w:pStyle w:val="Heading1"/>
        <w:pBdr>
          <w:bottom w:val="single" w:color="B8862E" w:sz="6" w:space="6"/>
        </w:pBdr>
        <w:spacing w:after="200" w:before="480"/>
      </w:pPr>
      <w:r>
        <w:rPr>
          <w:rFonts w:ascii="Georgia" w:cs="Georgia" w:eastAsia="Georgia" w:hAnsi="Georgia"/>
          <w:b/>
          <w:bCs/>
          <w:color w:val="1B2A4A"/>
          <w:sz w:val="30"/>
          <w:szCs w:val="30"/>
        </w:rPr>
        <w:t xml:space="preserve">6.  </w:t>
      </w:r>
      <w:r>
        <w:rPr>
          <w:rFonts w:ascii="Georgia" w:cs="Georgia" w:eastAsia="Georgia" w:hAnsi="Georgia"/>
          <w:b/>
          <w:bCs/>
          <w:color w:val="1B2A4A"/>
          <w:sz w:val="30"/>
          <w:szCs w:val="30"/>
        </w:rPr>
        <w:t xml:space="preserve">Financial Projections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A1F1F" w:sz="3"/>
              <w:left w:val="single" w:color="8A1F1F" w:sz="3"/>
              <w:bottom w:val="single" w:color="8A1F1F" w:sz="3"/>
              <w:right w:val="single" w:color="8A1F1F" w:sz="3"/>
            </w:tcBorders>
            <w:shd w:fill="FBEAEA" w:val="clear"/>
            <w:tcMar>
              <w:top w:type="dxa" w:w="140"/>
              <w:left w:type="dxa" w:w="180"/>
              <w:bottom w:type="dxa" w:w="140"/>
              <w:right w:type="dxa" w:w="180"/>
            </w:tcMar>
          </w:tcPr>
          <w:p>
            <w:r>
              <w:rPr>
                <w:rFonts w:ascii="Calibri" w:cs="Calibri" w:eastAsia="Calibri" w:hAnsi="Calibri"/>
                <w:b/>
                <w:bCs/>
                <w:color w:val="8A1F1F"/>
                <w:sz w:val="18"/>
                <w:szCs w:val="18"/>
              </w:rPr>
              <w:t xml:space="preserve">All figures in this section are unaudited, illustrative projections taken directly from the source strategic proposal. They are provided for general discussion only and must not be used for financial modelling, fundraising, lending, or any other actual financial or legal purpose without independent verification by qualified professionals.</w:t>
            </w:r>
          </w:p>
        </w:tc>
      </w:tr>
    </w:tbl>
    <w:p>
      <w:pPr>
        <w:spacing w:after="200"/>
      </w:pPr>
    </w:p>
    <w:p>
      <w:pPr>
        <w:pStyle w:val="Heading2"/>
        <w:spacing w:after="140" w:before="320"/>
      </w:pPr>
      <w:r>
        <w:rPr>
          <w:rFonts w:ascii="Calibri" w:cs="Calibri" w:eastAsia="Calibri" w:hAnsi="Calibri"/>
          <w:b/>
          <w:bCs/>
          <w:color w:val="1B2A4A"/>
          <w:sz w:val="24"/>
          <w:szCs w:val="24"/>
        </w:rPr>
        <w:t xml:space="preserve">6.1 Capital Expenditure Breakdown (INR Crore, indicative)</w:t>
      </w:r>
    </w:p>
    <w:tbl>
      <w:tblPr>
        <w:tblW w:type="dxa" w:w="9360"/>
        <w:tblBorders>
          <w:top w:val="single" w:color="CFCFCF" w:sz="2"/>
          <w:left w:val="single" w:color="CFCFCF" w:sz="2"/>
          <w:bottom w:val="single" w:color="CFCFCF" w:sz="2"/>
          <w:right w:val="single" w:color="CFCFCF" w:sz="2"/>
          <w:insideH w:val="single" w:color="CFCFCF" w:sz="2"/>
          <w:insideV w:val="single" w:color="CFCFCF" w:sz="2"/>
        </w:tblBorders>
      </w:tblPr>
      <w:tblGrid>
        <w:gridCol w:w="3160"/>
        <w:gridCol w:w="2050"/>
        <w:gridCol w:w="2050"/>
        <w:gridCol w:w="2100"/>
      </w:tblGrid>
      <w:tr>
        <w:trPr>
          <w:tblHeader/>
        </w:trPr>
        <w:tc>
          <w:tcPr>
            <w:tcW w:type="dxa" w:w="316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Component</w:t>
            </w:r>
          </w:p>
        </w:tc>
        <w:tc>
          <w:tcPr>
            <w:tcW w:type="dxa" w:w="205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Phase 1 (20 MW)</w:t>
            </w:r>
          </w:p>
        </w:tc>
        <w:tc>
          <w:tcPr>
            <w:tcW w:type="dxa" w:w="205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Phase 2 (30 MW)</w:t>
            </w:r>
          </w:p>
        </w:tc>
        <w:tc>
          <w:tcPr>
            <w:tcW w:type="dxa" w:w="210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Total</w:t>
            </w:r>
          </w:p>
        </w:tc>
      </w:tr>
      <w:tr>
        <w:tc>
          <w:tcPr>
            <w:tcW w:type="dxa" w:w="31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Land &amp; Civil Works</w:t>
            </w:r>
          </w:p>
        </w:tc>
        <w:tc>
          <w:tcPr>
            <w:tcW w:type="dxa" w:w="205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180</w:t>
            </w:r>
          </w:p>
        </w:tc>
        <w:tc>
          <w:tcPr>
            <w:tcW w:type="dxa" w:w="205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120</w:t>
            </w:r>
          </w:p>
        </w:tc>
        <w:tc>
          <w:tcPr>
            <w:tcW w:type="dxa" w:w="21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300</w:t>
            </w:r>
          </w:p>
        </w:tc>
      </w:tr>
      <w:tr>
        <w:tc>
          <w:tcPr>
            <w:tcW w:type="dxa" w:w="31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Power Infrastructure</w:t>
            </w:r>
          </w:p>
        </w:tc>
        <w:tc>
          <w:tcPr>
            <w:tcW w:type="dxa" w:w="205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350</w:t>
            </w:r>
          </w:p>
        </w:tc>
        <w:tc>
          <w:tcPr>
            <w:tcW w:type="dxa" w:w="205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200</w:t>
            </w:r>
          </w:p>
        </w:tc>
        <w:tc>
          <w:tcPr>
            <w:tcW w:type="dxa" w:w="21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550</w:t>
            </w:r>
          </w:p>
        </w:tc>
      </w:tr>
      <w:tr>
        <w:tc>
          <w:tcPr>
            <w:tcW w:type="dxa" w:w="31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Cooling Systems</w:t>
            </w:r>
          </w:p>
        </w:tc>
        <w:tc>
          <w:tcPr>
            <w:tcW w:type="dxa" w:w="205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200</w:t>
            </w:r>
          </w:p>
        </w:tc>
        <w:tc>
          <w:tcPr>
            <w:tcW w:type="dxa" w:w="205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150</w:t>
            </w:r>
          </w:p>
        </w:tc>
        <w:tc>
          <w:tcPr>
            <w:tcW w:type="dxa" w:w="21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350</w:t>
            </w:r>
          </w:p>
        </w:tc>
      </w:tr>
      <w:tr>
        <w:tc>
          <w:tcPr>
            <w:tcW w:type="dxa" w:w="31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IT Infrastructure</w:t>
            </w:r>
          </w:p>
        </w:tc>
        <w:tc>
          <w:tcPr>
            <w:tcW w:type="dxa" w:w="205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150</w:t>
            </w:r>
          </w:p>
        </w:tc>
        <w:tc>
          <w:tcPr>
            <w:tcW w:type="dxa" w:w="205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100</w:t>
            </w:r>
          </w:p>
        </w:tc>
        <w:tc>
          <w:tcPr>
            <w:tcW w:type="dxa" w:w="21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250</w:t>
            </w:r>
          </w:p>
        </w:tc>
      </w:tr>
      <w:tr>
        <w:tc>
          <w:tcPr>
            <w:tcW w:type="dxa" w:w="31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Fibre &amp; Network</w:t>
            </w:r>
          </w:p>
        </w:tc>
        <w:tc>
          <w:tcPr>
            <w:tcW w:type="dxa" w:w="205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50</w:t>
            </w:r>
          </w:p>
        </w:tc>
        <w:tc>
          <w:tcPr>
            <w:tcW w:type="dxa" w:w="205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30</w:t>
            </w:r>
          </w:p>
        </w:tc>
        <w:tc>
          <w:tcPr>
            <w:tcW w:type="dxa" w:w="21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80</w:t>
            </w:r>
          </w:p>
        </w:tc>
      </w:tr>
      <w:tr>
        <w:tc>
          <w:tcPr>
            <w:tcW w:type="dxa" w:w="31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Solar + Water + Soft Costs</w:t>
            </w:r>
          </w:p>
        </w:tc>
        <w:tc>
          <w:tcPr>
            <w:tcW w:type="dxa" w:w="205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170</w:t>
            </w:r>
          </w:p>
        </w:tc>
        <w:tc>
          <w:tcPr>
            <w:tcW w:type="dxa" w:w="205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100</w:t>
            </w:r>
          </w:p>
        </w:tc>
        <w:tc>
          <w:tcPr>
            <w:tcW w:type="dxa" w:w="21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270</w:t>
            </w:r>
          </w:p>
        </w:tc>
      </w:tr>
      <w:tr>
        <w:tc>
          <w:tcPr>
            <w:tcW w:type="dxa" w:w="31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Total</w:t>
            </w:r>
          </w:p>
        </w:tc>
        <w:tc>
          <w:tcPr>
            <w:tcW w:type="dxa" w:w="205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1,100</w:t>
            </w:r>
          </w:p>
        </w:tc>
        <w:tc>
          <w:tcPr>
            <w:tcW w:type="dxa" w:w="205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700</w:t>
            </w:r>
          </w:p>
        </w:tc>
        <w:tc>
          <w:tcPr>
            <w:tcW w:type="dxa" w:w="21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1,800</w:t>
            </w:r>
          </w:p>
        </w:tc>
      </w:tr>
    </w:tbl>
    <w:p>
      <w:pPr>
        <w:spacing w:after="200" w:before="60"/>
      </w:pPr>
      <w:r>
        <w:rPr>
          <w:rFonts w:ascii="Calibri" w:cs="Calibri" w:eastAsia="Calibri" w:hAnsi="Calibri"/>
          <w:i/>
          <w:iCs/>
          <w:color w:val="6E6E6E"/>
          <w:sz w:val="16"/>
          <w:szCs w:val="16"/>
        </w:rPr>
        <w:t xml:space="preserve">Source: Sri Sri Aparanji AI Data Centre Proposal, Financial Projections Section — indicative capex only</w:t>
      </w:r>
    </w:p>
    <w:p>
      <w:pPr>
        <w:pStyle w:val="Heading2"/>
        <w:spacing w:after="140" w:before="320"/>
      </w:pPr>
      <w:r>
        <w:rPr>
          <w:rFonts w:ascii="Calibri" w:cs="Calibri" w:eastAsia="Calibri" w:hAnsi="Calibri"/>
          <w:b/>
          <w:bCs/>
          <w:color w:val="1B2A4A"/>
          <w:sz w:val="24"/>
          <w:szCs w:val="24"/>
        </w:rPr>
        <w:t xml:space="preserve">6.2 Annual OPEX — With vs. Without Incentives (INR Crore, indicative)</w:t>
      </w:r>
    </w:p>
    <w:tbl>
      <w:tblPr>
        <w:tblW w:type="dxa" w:w="9360"/>
        <w:tblBorders>
          <w:top w:val="single" w:color="CFCFCF" w:sz="2"/>
          <w:left w:val="single" w:color="CFCFCF" w:sz="2"/>
          <w:bottom w:val="single" w:color="CFCFCF" w:sz="2"/>
          <w:right w:val="single" w:color="CFCFCF" w:sz="2"/>
          <w:insideH w:val="single" w:color="CFCFCF" w:sz="2"/>
          <w:insideV w:val="single" w:color="CFCFCF" w:sz="2"/>
        </w:tblBorders>
      </w:tblPr>
      <w:tblGrid>
        <w:gridCol w:w="3900"/>
        <w:gridCol w:w="2730"/>
        <w:gridCol w:w="2730"/>
      </w:tblGrid>
      <w:tr>
        <w:trPr>
          <w:tblHeader/>
        </w:trPr>
        <w:tc>
          <w:tcPr>
            <w:tcW w:type="dxa" w:w="390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Category</w:t>
            </w:r>
          </w:p>
        </w:tc>
        <w:tc>
          <w:tcPr>
            <w:tcW w:type="dxa" w:w="273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Without Incentives</w:t>
            </w:r>
          </w:p>
        </w:tc>
        <w:tc>
          <w:tcPr>
            <w:tcW w:type="dxa" w:w="273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With Telangana Incentives</w:t>
            </w:r>
          </w:p>
        </w:tc>
      </w:tr>
      <w:tr>
        <w:tc>
          <w:tcPr>
            <w:tcW w:type="dxa" w:w="39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Power</w:t>
            </w:r>
          </w:p>
        </w:tc>
        <w:tc>
          <w:tcPr>
            <w:tcW w:type="dxa" w:w="273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85.0</w:t>
            </w:r>
          </w:p>
        </w:tc>
        <w:tc>
          <w:tcPr>
            <w:tcW w:type="dxa" w:w="273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65.0</w:t>
            </w:r>
          </w:p>
        </w:tc>
      </w:tr>
      <w:tr>
        <w:tc>
          <w:tcPr>
            <w:tcW w:type="dxa" w:w="39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Diesel</w:t>
            </w:r>
          </w:p>
        </w:tc>
        <w:tc>
          <w:tcPr>
            <w:tcW w:type="dxa" w:w="273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12.0</w:t>
            </w:r>
          </w:p>
        </w:tc>
        <w:tc>
          <w:tcPr>
            <w:tcW w:type="dxa" w:w="273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10.0</w:t>
            </w:r>
          </w:p>
        </w:tc>
      </w:tr>
      <w:tr>
        <w:tc>
          <w:tcPr>
            <w:tcW w:type="dxa" w:w="39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Water</w:t>
            </w:r>
          </w:p>
        </w:tc>
        <w:tc>
          <w:tcPr>
            <w:tcW w:type="dxa" w:w="273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3.0</w:t>
            </w:r>
          </w:p>
        </w:tc>
        <w:tc>
          <w:tcPr>
            <w:tcW w:type="dxa" w:w="273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3.0</w:t>
            </w:r>
          </w:p>
        </w:tc>
      </w:tr>
      <w:tr>
        <w:tc>
          <w:tcPr>
            <w:tcW w:type="dxa" w:w="39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Internet</w:t>
            </w:r>
          </w:p>
        </w:tc>
        <w:tc>
          <w:tcPr>
            <w:tcW w:type="dxa" w:w="273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8.0</w:t>
            </w:r>
          </w:p>
        </w:tc>
        <w:tc>
          <w:tcPr>
            <w:tcW w:type="dxa" w:w="273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6.0</w:t>
            </w:r>
          </w:p>
        </w:tc>
      </w:tr>
      <w:tr>
        <w:tc>
          <w:tcPr>
            <w:tcW w:type="dxa" w:w="39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Maintenance</w:t>
            </w:r>
          </w:p>
        </w:tc>
        <w:tc>
          <w:tcPr>
            <w:tcW w:type="dxa" w:w="273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25.0</w:t>
            </w:r>
          </w:p>
        </w:tc>
        <w:tc>
          <w:tcPr>
            <w:tcW w:type="dxa" w:w="273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25.0</w:t>
            </w:r>
          </w:p>
        </w:tc>
      </w:tr>
    </w:tbl>
    <w:p>
      <w:pPr>
        <w:pStyle w:val="Heading2"/>
        <w:spacing w:after="140" w:before="320"/>
      </w:pPr>
      <w:r>
        <w:rPr>
          <w:rFonts w:ascii="Calibri" w:cs="Calibri" w:eastAsia="Calibri" w:hAnsi="Calibri"/>
          <w:b/>
          <w:bCs/>
          <w:color w:val="1B2A4A"/>
          <w:sz w:val="24"/>
          <w:szCs w:val="24"/>
        </w:rPr>
        <w:t xml:space="preserve">6.3 Taxation Impact Summary (20-Year NPV, indicative)</w:t>
      </w:r>
    </w:p>
    <w:tbl>
      <w:tblPr>
        <w:tblW w:type="dxa" w:w="9360"/>
        <w:tblBorders>
          <w:top w:val="single" w:color="CFCFCF" w:sz="2"/>
          <w:left w:val="single" w:color="CFCFCF" w:sz="2"/>
          <w:bottom w:val="single" w:color="CFCFCF" w:sz="2"/>
          <w:right w:val="single" w:color="CFCFCF" w:sz="2"/>
          <w:insideH w:val="single" w:color="CFCFCF" w:sz="2"/>
          <w:insideV w:val="single" w:color="CFCFCF" w:sz="2"/>
        </w:tblBorders>
      </w:tblPr>
      <w:tblGrid>
        <w:gridCol w:w="2600"/>
        <w:gridCol w:w="3600"/>
        <w:gridCol w:w="1600"/>
        <w:gridCol w:w="1560"/>
      </w:tblGrid>
      <w:tr>
        <w:trPr>
          <w:tblHeader/>
        </w:trPr>
        <w:tc>
          <w:tcPr>
            <w:tcW w:type="dxa" w:w="260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Tax Benefit</w:t>
            </w:r>
          </w:p>
        </w:tc>
        <w:tc>
          <w:tcPr>
            <w:tcW w:type="dxa" w:w="360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Mechanism (as cited)</w:t>
            </w:r>
          </w:p>
        </w:tc>
        <w:tc>
          <w:tcPr>
            <w:tcW w:type="dxa" w:w="160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20-Yr NPV (cited)</w:t>
            </w:r>
          </w:p>
        </w:tc>
        <w:tc>
          <w:tcPr>
            <w:tcW w:type="dxa" w:w="156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IRR Impact (cited)</w:t>
            </w:r>
          </w:p>
        </w:tc>
      </w:tr>
      <w:tr>
        <w:tc>
          <w:tcPr>
            <w:tcW w:type="dxa" w:w="26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Foreign Tenant Tax Holiday</w:t>
            </w:r>
          </w:p>
        </w:tc>
        <w:tc>
          <w:tcPr>
            <w:tcW w:type="dxa" w:w="36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Higher occupancy from global hyperscalers at premium rates</w:t>
            </w:r>
          </w:p>
        </w:tc>
        <w:tc>
          <w:tcPr>
            <w:tcW w:type="dxa" w:w="16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INR 400+ Cr</w:t>
            </w:r>
          </w:p>
        </w:tc>
        <w:tc>
          <w:tcPr>
            <w:tcW w:type="dxa" w:w="15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+2-3%</w:t>
            </w:r>
          </w:p>
        </w:tc>
      </w:tr>
      <w:tr>
        <w:tc>
          <w:tcPr>
            <w:tcW w:type="dxa" w:w="26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Infrastructure Status</w:t>
            </w:r>
          </w:p>
        </w:tc>
        <w:tc>
          <w:tcPr>
            <w:tcW w:type="dxa" w:w="36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15-yr debt at ~8.5% vs. ~12% commercial rate</w:t>
            </w:r>
          </w:p>
        </w:tc>
        <w:tc>
          <w:tcPr>
            <w:tcW w:type="dxa" w:w="16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INR 180 Cr</w:t>
            </w:r>
          </w:p>
        </w:tc>
        <w:tc>
          <w:tcPr>
            <w:tcW w:type="dxa" w:w="15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+1-2%</w:t>
            </w:r>
          </w:p>
        </w:tc>
      </w:tr>
      <w:tr>
        <w:tc>
          <w:tcPr>
            <w:tcW w:type="dxa" w:w="26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Telangana Power Subsidy</w:t>
            </w:r>
          </w:p>
        </w:tc>
        <w:tc>
          <w:tcPr>
            <w:tcW w:type="dxa" w:w="36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20-25% reduction in electricity cost</w:t>
            </w:r>
          </w:p>
        </w:tc>
        <w:tc>
          <w:tcPr>
            <w:tcW w:type="dxa" w:w="16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INR 300 Cr</w:t>
            </w:r>
          </w:p>
        </w:tc>
        <w:tc>
          <w:tcPr>
            <w:tcW w:type="dxa" w:w="15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+1-2%</w:t>
            </w:r>
          </w:p>
        </w:tc>
      </w:tr>
      <w:tr>
        <w:tc>
          <w:tcPr>
            <w:tcW w:type="dxa" w:w="26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Safe Harbour + Accel. Depreciation</w:t>
            </w:r>
          </w:p>
        </w:tc>
        <w:tc>
          <w:tcPr>
            <w:tcW w:type="dxa" w:w="36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Transfer-pricing certainty; front-loaded tax shields</w:t>
            </w:r>
          </w:p>
        </w:tc>
        <w:tc>
          <w:tcPr>
            <w:tcW w:type="dxa" w:w="16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INR 170 Cr</w:t>
            </w:r>
          </w:p>
        </w:tc>
        <w:tc>
          <w:tcPr>
            <w:tcW w:type="dxa" w:w="15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+1-2%</w:t>
            </w:r>
          </w:p>
        </w:tc>
      </w:tr>
    </w:tbl>
    <w:p>
      <w:pPr>
        <w:spacing w:after="160" w:line="276"/>
        <w:jc w:val="both"/>
      </w:pPr>
      <w:r>
        <w:rPr>
          <w:rFonts w:ascii="Calibri" w:cs="Calibri" w:eastAsia="Calibri" w:hAnsi="Calibri"/>
          <w:color w:val="222222"/>
          <w:sz w:val="21"/>
          <w:szCs w:val="21"/>
        </w:rPr>
        <w:t xml:space="preserve">The source proposal states a combined projected IRR of 18-22% with all incentives applied, versus 12-14% without incentives, and a total incentive NPV cited at INR 1,050+ Crore over 20 years. These figures depend on numerous assumptions (occupancy ramp, financing terms, policy continuity, construction cost inflation) that have not been independently modelled here and should be treated as directional only.</w:t>
      </w:r>
    </w:p>
    <w:p>
      <w:pPr>
        <w:pStyle w:val="Heading2"/>
        <w:spacing w:after="140" w:before="320"/>
      </w:pPr>
      <w:r>
        <w:rPr>
          <w:rFonts w:ascii="Calibri" w:cs="Calibri" w:eastAsia="Calibri" w:hAnsi="Calibri"/>
          <w:b/>
          <w:bCs/>
          <w:color w:val="1B2A4A"/>
          <w:sz w:val="24"/>
          <w:szCs w:val="24"/>
        </w:rPr>
        <w:t xml:space="preserve">6.4 Revenue Projection by Stream (INR Crore, indicative)</w:t>
      </w:r>
    </w:p>
    <w:tbl>
      <w:tblPr>
        <w:tblW w:type="dxa" w:w="9360"/>
        <w:tblBorders>
          <w:top w:val="single" w:color="CFCFCF" w:sz="2"/>
          <w:left w:val="single" w:color="CFCFCF" w:sz="2"/>
          <w:bottom w:val="single" w:color="CFCFCF" w:sz="2"/>
          <w:right w:val="single" w:color="CFCFCF" w:sz="2"/>
          <w:insideH w:val="single" w:color="CFCFCF" w:sz="2"/>
          <w:insideV w:val="single" w:color="CFCFCF" w:sz="2"/>
        </w:tblBorders>
      </w:tblPr>
      <w:tblGrid>
        <w:gridCol w:w="2900"/>
        <w:gridCol w:w="1600"/>
        <w:gridCol w:w="1600"/>
        <w:gridCol w:w="1620"/>
        <w:gridCol w:w="1640"/>
      </w:tblGrid>
      <w:tr>
        <w:trPr>
          <w:tblHeader/>
        </w:trPr>
        <w:tc>
          <w:tcPr>
            <w:tcW w:type="dxa" w:w="290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Stream</w:t>
            </w:r>
          </w:p>
        </w:tc>
        <w:tc>
          <w:tcPr>
            <w:tcW w:type="dxa" w:w="160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Year 3</w:t>
            </w:r>
          </w:p>
        </w:tc>
        <w:tc>
          <w:tcPr>
            <w:tcW w:type="dxa" w:w="160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Year 5</w:t>
            </w:r>
          </w:p>
        </w:tc>
        <w:tc>
          <w:tcPr>
            <w:tcW w:type="dxa" w:w="162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Year 7</w:t>
            </w:r>
          </w:p>
        </w:tc>
        <w:tc>
          <w:tcPr>
            <w:tcW w:type="dxa" w:w="164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Year 10</w:t>
            </w:r>
          </w:p>
        </w:tc>
      </w:tr>
      <w:tr>
        <w:tc>
          <w:tcPr>
            <w:tcW w:type="dxa" w:w="29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Colocation</w:t>
            </w:r>
          </w:p>
        </w:tc>
        <w:tc>
          <w:tcPr>
            <w:tcW w:type="dxa" w:w="16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80</w:t>
            </w:r>
          </w:p>
        </w:tc>
        <w:tc>
          <w:tcPr>
            <w:tcW w:type="dxa" w:w="16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150</w:t>
            </w:r>
          </w:p>
        </w:tc>
        <w:tc>
          <w:tcPr>
            <w:tcW w:type="dxa" w:w="162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200</w:t>
            </w:r>
          </w:p>
        </w:tc>
        <w:tc>
          <w:tcPr>
            <w:tcW w:type="dxa" w:w="164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280</w:t>
            </w:r>
          </w:p>
        </w:tc>
      </w:tr>
      <w:tr>
        <w:tc>
          <w:tcPr>
            <w:tcW w:type="dxa" w:w="29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Hyperscale Leasing</w:t>
            </w:r>
          </w:p>
        </w:tc>
        <w:tc>
          <w:tcPr>
            <w:tcW w:type="dxa" w:w="16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60</w:t>
            </w:r>
          </w:p>
        </w:tc>
        <w:tc>
          <w:tcPr>
            <w:tcW w:type="dxa" w:w="16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200</w:t>
            </w:r>
          </w:p>
        </w:tc>
        <w:tc>
          <w:tcPr>
            <w:tcW w:type="dxa" w:w="162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320</w:t>
            </w:r>
          </w:p>
        </w:tc>
        <w:tc>
          <w:tcPr>
            <w:tcW w:type="dxa" w:w="164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450</w:t>
            </w:r>
          </w:p>
        </w:tc>
      </w:tr>
      <w:tr>
        <w:tc>
          <w:tcPr>
            <w:tcW w:type="dxa" w:w="29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AI Cloud</w:t>
            </w:r>
          </w:p>
        </w:tc>
        <w:tc>
          <w:tcPr>
            <w:tcW w:type="dxa" w:w="16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20</w:t>
            </w:r>
          </w:p>
        </w:tc>
        <w:tc>
          <w:tcPr>
            <w:tcW w:type="dxa" w:w="16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120</w:t>
            </w:r>
          </w:p>
        </w:tc>
        <w:tc>
          <w:tcPr>
            <w:tcW w:type="dxa" w:w="162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250</w:t>
            </w:r>
          </w:p>
        </w:tc>
        <w:tc>
          <w:tcPr>
            <w:tcW w:type="dxa" w:w="164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380</w:t>
            </w:r>
          </w:p>
        </w:tc>
      </w:tr>
      <w:tr>
        <w:tc>
          <w:tcPr>
            <w:tcW w:type="dxa" w:w="29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Managed Services</w:t>
            </w:r>
          </w:p>
        </w:tc>
        <w:tc>
          <w:tcPr>
            <w:tcW w:type="dxa" w:w="16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15</w:t>
            </w:r>
          </w:p>
        </w:tc>
        <w:tc>
          <w:tcPr>
            <w:tcW w:type="dxa" w:w="16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40</w:t>
            </w:r>
          </w:p>
        </w:tc>
        <w:tc>
          <w:tcPr>
            <w:tcW w:type="dxa" w:w="162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65</w:t>
            </w:r>
          </w:p>
        </w:tc>
        <w:tc>
          <w:tcPr>
            <w:tcW w:type="dxa" w:w="164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90</w:t>
            </w:r>
          </w:p>
        </w:tc>
      </w:tr>
      <w:tr>
        <w:tc>
          <w:tcPr>
            <w:tcW w:type="dxa" w:w="29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Total Revenue</w:t>
            </w:r>
          </w:p>
        </w:tc>
        <w:tc>
          <w:tcPr>
            <w:tcW w:type="dxa" w:w="16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175</w:t>
            </w:r>
          </w:p>
        </w:tc>
        <w:tc>
          <w:tcPr>
            <w:tcW w:type="dxa" w:w="16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510</w:t>
            </w:r>
          </w:p>
        </w:tc>
        <w:tc>
          <w:tcPr>
            <w:tcW w:type="dxa" w:w="162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835</w:t>
            </w:r>
          </w:p>
        </w:tc>
        <w:tc>
          <w:tcPr>
            <w:tcW w:type="dxa" w:w="164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1,200</w:t>
            </w:r>
          </w:p>
        </w:tc>
      </w:tr>
    </w:tbl>
    <w:p>
      <w:pPr>
        <w:spacing w:after="160" w:line="276"/>
        <w:jc w:val="both"/>
      </w:pPr>
      <w:r>
        <w:rPr>
          <w:rFonts w:ascii="Calibri" w:cs="Calibri" w:eastAsia="Calibri" w:hAnsi="Calibri"/>
          <w:color w:val="222222"/>
          <w:sz w:val="21"/>
          <w:szCs w:val="21"/>
        </w:rPr>
        <w:t xml:space="preserve">Growth from Year 3 to Year 10 revenue is cited in the source proposal as approximately 6.9x, driven primarily by the AI Cloud segment. As with all figures in this section, these are unverified projections dependent on successful tenant acquisition, construction timelines, and market conditions.</w:t>
      </w:r>
    </w:p>
    <w:p>
      <w:pPr>
        <w:spacing w:after="200" w:before="60"/>
      </w:pPr>
      <w:r>
        <w:rPr>
          <w:rFonts w:ascii="Calibri" w:cs="Calibri" w:eastAsia="Calibri" w:hAnsi="Calibri"/>
          <w:i/>
          <w:iCs/>
          <w:color w:val="6E6E6E"/>
          <w:sz w:val="16"/>
          <w:szCs w:val="16"/>
        </w:rPr>
        <w:t xml:space="preserve">Source: Sri Sri Aparanji AI Data Centre Proposal, Financial Projections Section — indicative revenue projections only</w:t>
      </w:r>
    </w:p>
    <w:p>
      <w:r>
        <w:br w:type="page"/>
      </w:r>
    </w:p>
    <w:p>
      <w:pPr>
        <w:pStyle w:val="Heading1"/>
        <w:pBdr>
          <w:bottom w:val="single" w:color="B8862E" w:sz="6" w:space="6"/>
        </w:pBdr>
        <w:spacing w:after="200" w:before="480"/>
      </w:pPr>
      <w:r>
        <w:rPr>
          <w:rFonts w:ascii="Georgia" w:cs="Georgia" w:eastAsia="Georgia" w:hAnsi="Georgia"/>
          <w:b/>
          <w:bCs/>
          <w:color w:val="1B2A4A"/>
          <w:sz w:val="30"/>
          <w:szCs w:val="30"/>
        </w:rPr>
        <w:t xml:space="preserve">7.  </w:t>
      </w:r>
      <w:r>
        <w:rPr>
          <w:rFonts w:ascii="Georgia" w:cs="Georgia" w:eastAsia="Georgia" w:hAnsi="Georgia"/>
          <w:b/>
          <w:bCs/>
          <w:color w:val="1B2A4A"/>
          <w:sz w:val="30"/>
          <w:szCs w:val="30"/>
        </w:rPr>
        <w:t xml:space="preserve">Competitive Advantage</w:t>
      </w:r>
    </w:p>
    <w:p>
      <w:pPr>
        <w:spacing w:after="160" w:line="276"/>
        <w:jc w:val="both"/>
      </w:pPr>
      <w:r>
        <w:rPr>
          <w:rFonts w:ascii="Calibri" w:cs="Calibri" w:eastAsia="Calibri" w:hAnsi="Calibri"/>
          <w:color w:val="222222"/>
          <w:sz w:val="21"/>
          <w:szCs w:val="21"/>
        </w:rPr>
        <w:t xml:space="preserve">The source proposal positions Aparanji against two established Hyderabad data centre corridors — Adibatla and Gachibowli/HITEC City — on land availability, cost, water access, and security profile.</w:t>
      </w:r>
    </w:p>
    <w:p>
      <w:pPr>
        <w:pStyle w:val="Heading2"/>
        <w:spacing w:after="140" w:before="320"/>
      </w:pPr>
      <w:r>
        <w:rPr>
          <w:rFonts w:ascii="Calibri" w:cs="Calibri" w:eastAsia="Calibri" w:hAnsi="Calibri"/>
          <w:b/>
          <w:bCs/>
          <w:color w:val="1B2A4A"/>
          <w:sz w:val="24"/>
          <w:szCs w:val="24"/>
        </w:rPr>
        <w:t xml:space="preserve">7.1 Comparative Positioning (as proposed)</w:t>
      </w:r>
    </w:p>
    <w:tbl>
      <w:tblPr>
        <w:tblW w:type="dxa" w:w="9360"/>
        <w:tblBorders>
          <w:top w:val="single" w:color="CFCFCF" w:sz="2"/>
          <w:left w:val="single" w:color="CFCFCF" w:sz="2"/>
          <w:bottom w:val="single" w:color="CFCFCF" w:sz="2"/>
          <w:right w:val="single" w:color="CFCFCF" w:sz="2"/>
          <w:insideH w:val="single" w:color="CFCFCF" w:sz="2"/>
          <w:insideV w:val="single" w:color="CFCFCF" w:sz="2"/>
        </w:tblBorders>
      </w:tblPr>
      <w:tblGrid>
        <w:gridCol w:w="2400"/>
        <w:gridCol w:w="2400"/>
        <w:gridCol w:w="2100"/>
        <w:gridCol w:w="2460"/>
      </w:tblGrid>
      <w:tr>
        <w:trPr>
          <w:tblHeader/>
        </w:trPr>
        <w:tc>
          <w:tcPr>
            <w:tcW w:type="dxa" w:w="240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Factor</w:t>
            </w:r>
          </w:p>
        </w:tc>
        <w:tc>
          <w:tcPr>
            <w:tcW w:type="dxa" w:w="240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Aparanji (Ramdaspally)</w:t>
            </w:r>
          </w:p>
        </w:tc>
        <w:tc>
          <w:tcPr>
            <w:tcW w:type="dxa" w:w="210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Adibatla</w:t>
            </w:r>
          </w:p>
        </w:tc>
        <w:tc>
          <w:tcPr>
            <w:tcW w:type="dxa" w:w="246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Gachibowli / HITEC City</w:t>
            </w:r>
          </w:p>
        </w:tc>
      </w:tr>
      <w:tr>
        <w:tc>
          <w:tcPr>
            <w:tcW w:type="dxa" w:w="24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Land Availability</w:t>
            </w:r>
          </w:p>
        </w:tc>
        <w:tc>
          <w:tcPr>
            <w:tcW w:type="dxa" w:w="24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50 acres contiguous</w:t>
            </w:r>
          </w:p>
        </w:tc>
        <w:tc>
          <w:tcPr>
            <w:tcW w:type="dxa" w:w="21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Limited parcels</w:t>
            </w:r>
          </w:p>
        </w:tc>
        <w:tc>
          <w:tcPr>
            <w:tcW w:type="dxa" w:w="24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Saturated / no large plots</w:t>
            </w:r>
          </w:p>
        </w:tc>
      </w:tr>
      <w:tr>
        <w:tc>
          <w:tcPr>
            <w:tcW w:type="dxa" w:w="24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Land Cost (cited)</w:t>
            </w:r>
          </w:p>
        </w:tc>
        <w:tc>
          <w:tcPr>
            <w:tcW w:type="dxa" w:w="24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INR 4-5 Cr/acre</w:t>
            </w:r>
          </w:p>
        </w:tc>
        <w:tc>
          <w:tcPr>
            <w:tcW w:type="dxa" w:w="21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INR 8-10 Cr/acre</w:t>
            </w:r>
          </w:p>
        </w:tc>
        <w:tc>
          <w:tcPr>
            <w:tcW w:type="dxa" w:w="24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INR 15-20 Cr/acre</w:t>
            </w:r>
          </w:p>
        </w:tc>
      </w:tr>
      <w:tr>
        <w:tc>
          <w:tcPr>
            <w:tcW w:type="dxa" w:w="24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Power Grid Access</w:t>
            </w:r>
          </w:p>
        </w:tc>
        <w:tc>
          <w:tcPr>
            <w:tcW w:type="dxa" w:w="24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New dual substation possible</w:t>
            </w:r>
          </w:p>
        </w:tc>
        <w:tc>
          <w:tcPr>
            <w:tcW w:type="dxa" w:w="21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Constrained</w:t>
            </w:r>
          </w:p>
        </w:tc>
        <w:tc>
          <w:tcPr>
            <w:tcW w:type="dxa" w:w="24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Saturated</w:t>
            </w:r>
          </w:p>
        </w:tc>
      </w:tr>
      <w:tr>
        <w:tc>
          <w:tcPr>
            <w:tcW w:type="dxa" w:w="24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Water Access</w:t>
            </w:r>
          </w:p>
        </w:tc>
        <w:tc>
          <w:tcPr>
            <w:tcW w:type="dxa" w:w="24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Abundant (claimed)</w:t>
            </w:r>
          </w:p>
        </w:tc>
        <w:tc>
          <w:tcPr>
            <w:tcW w:type="dxa" w:w="21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Scarce</w:t>
            </w:r>
          </w:p>
        </w:tc>
        <w:tc>
          <w:tcPr>
            <w:tcW w:type="dxa" w:w="24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Scarce</w:t>
            </w:r>
          </w:p>
        </w:tc>
      </w:tr>
      <w:tr>
        <w:tc>
          <w:tcPr>
            <w:tcW w:type="dxa" w:w="24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Expansion Potential</w:t>
            </w:r>
          </w:p>
        </w:tc>
        <w:tc>
          <w:tcPr>
            <w:tcW w:type="dxa" w:w="24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Unlimited (50 acres)</w:t>
            </w:r>
          </w:p>
        </w:tc>
        <w:tc>
          <w:tcPr>
            <w:tcW w:type="dxa" w:w="21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Limited</w:t>
            </w:r>
          </w:p>
        </w:tc>
        <w:tc>
          <w:tcPr>
            <w:tcW w:type="dxa" w:w="24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None</w:t>
            </w:r>
          </w:p>
        </w:tc>
      </w:tr>
      <w:tr>
        <w:tc>
          <w:tcPr>
            <w:tcW w:type="dxa" w:w="24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Security Zone</w:t>
            </w:r>
          </w:p>
        </w:tc>
        <w:tc>
          <w:tcPr>
            <w:tcW w:type="dxa" w:w="24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Defence corridor proximity</w:t>
            </w:r>
          </w:p>
        </w:tc>
        <w:tc>
          <w:tcPr>
            <w:tcW w:type="dxa" w:w="21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No</w:t>
            </w:r>
          </w:p>
        </w:tc>
        <w:tc>
          <w:tcPr>
            <w:tcW w:type="dxa" w:w="24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No</w:t>
            </w:r>
          </w:p>
        </w:tc>
      </w:tr>
      <w:tr>
        <w:tc>
          <w:tcPr>
            <w:tcW w:type="dxa" w:w="24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Airport Latency</w:t>
            </w:r>
          </w:p>
        </w:tc>
        <w:tc>
          <w:tcPr>
            <w:tcW w:type="dxa" w:w="24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~30 min</w:t>
            </w:r>
          </w:p>
        </w:tc>
        <w:tc>
          <w:tcPr>
            <w:tcW w:type="dxa" w:w="21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~45 min</w:t>
            </w:r>
          </w:p>
        </w:tc>
        <w:tc>
          <w:tcPr>
            <w:tcW w:type="dxa" w:w="24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~60 min</w:t>
            </w:r>
          </w:p>
        </w:tc>
      </w:tr>
    </w:tbl>
    <w:p>
      <w:pPr>
        <w:spacing w:after="160" w:line="276"/>
        <w:jc w:val="both"/>
      </w:pPr>
      <w:r>
        <w:rPr>
          <w:rFonts w:ascii="Calibri" w:cs="Calibri" w:eastAsia="Calibri" w:hAnsi="Calibri"/>
          <w:color w:val="222222"/>
          <w:sz w:val="21"/>
          <w:szCs w:val="21"/>
        </w:rPr>
        <w:t xml:space="preserve">The proposal estimates a 3-4x land-cost advantage over Gachibowli, translating to an indicative INR 500-750 Crore saving on a 50-acre acquisition. These figures are drawn from the source proposal's own market comparisons and have not been benchmarked against independent valuation or brokerage data.</w:t>
      </w:r>
    </w:p>
    <w:p>
      <w:pPr>
        <w:pStyle w:val="Heading2"/>
        <w:spacing w:after="140" w:before="320"/>
      </w:pPr>
      <w:r>
        <w:rPr>
          <w:rFonts w:ascii="Calibri" w:cs="Calibri" w:eastAsia="Calibri" w:hAnsi="Calibri"/>
          <w:b/>
          <w:bCs/>
          <w:color w:val="1B2A4A"/>
          <w:sz w:val="24"/>
          <w:szCs w:val="24"/>
        </w:rPr>
        <w:t xml:space="preserve">7.2 Cited Strategic Differentiators</w:t>
      </w:r>
    </w:p>
    <w:p>
      <w:pPr>
        <w:pStyle w:val="ListParagraph"/>
        <w:numPr>
          <w:ilvl w:val="0"/>
          <w:numId w:val="1"/>
        </w:numPr>
        <w:spacing w:after="90" w:line="264"/>
      </w:pPr>
      <w:r>
        <w:rPr>
          <w:rFonts w:ascii="Calibri" w:cs="Calibri" w:eastAsia="Calibri" w:hAnsi="Calibri"/>
          <w:color w:val="222222"/>
          <w:sz w:val="21"/>
          <w:szCs w:val="21"/>
        </w:rPr>
        <w:t xml:space="preserve">Defence-sovereign cloud corridor: proximity to DRDO, BDL, RCI and NSG, framed as supporting classified cloud and sovereign data hosting opportunities, subject to actual security clearance and contracting requirements.</w:t>
      </w:r>
    </w:p>
    <w:p>
      <w:pPr>
        <w:pStyle w:val="ListParagraph"/>
        <w:numPr>
          <w:ilvl w:val="0"/>
          <w:numId w:val="1"/>
        </w:numPr>
        <w:spacing w:after="90" w:line="264"/>
      </w:pPr>
      <w:r>
        <w:rPr>
          <w:rFonts w:ascii="Calibri" w:cs="Calibri" w:eastAsia="Calibri" w:hAnsi="Calibri"/>
          <w:color w:val="222222"/>
          <w:sz w:val="21"/>
          <w:szCs w:val="21"/>
        </w:rPr>
        <w:t xml:space="preserve">AI cooling advantage: abundant water and a claimed lower ambient temperature from the site's elevation, framed as supporting a lower PUE and reduced operating cost.</w:t>
      </w:r>
    </w:p>
    <w:p>
      <w:pPr>
        <w:pStyle w:val="ListParagraph"/>
        <w:numPr>
          <w:ilvl w:val="0"/>
          <w:numId w:val="1"/>
        </w:numPr>
        <w:spacing w:after="90" w:line="264"/>
      </w:pPr>
      <w:r>
        <w:rPr>
          <w:rFonts w:ascii="Calibri" w:cs="Calibri" w:eastAsia="Calibri" w:hAnsi="Calibri"/>
          <w:color w:val="222222"/>
          <w:sz w:val="21"/>
          <w:szCs w:val="21"/>
        </w:rPr>
        <w:t xml:space="preserve">Tax-optimised structure: eligibility as a "Specified Data Centre" under the cited Finance Act 2026 provisions and the 2047 tax holiday, discussed in Section 4.</w:t>
      </w:r>
    </w:p>
    <w:p>
      <w:pPr>
        <w:pStyle w:val="ListParagraph"/>
        <w:numPr>
          <w:ilvl w:val="0"/>
          <w:numId w:val="1"/>
        </w:numPr>
        <w:spacing w:after="90" w:line="264"/>
      </w:pPr>
      <w:r>
        <w:rPr>
          <w:rFonts w:ascii="Calibri" w:cs="Calibri" w:eastAsia="Calibri" w:hAnsi="Calibri"/>
          <w:color w:val="222222"/>
          <w:sz w:val="21"/>
          <w:szCs w:val="21"/>
        </w:rPr>
        <w:t xml:space="preserve">Supply chain ecosystem: adjacency to the Hardware Park (C-DAC, HCL, Zen Tech), cited as reducing procurement lead times by 40-60%.</w:t>
      </w:r>
    </w:p>
    <w:p>
      <w:r>
        <w:br w:type="page"/>
      </w:r>
    </w:p>
    <w:p>
      <w:pPr>
        <w:pStyle w:val="Heading1"/>
        <w:pBdr>
          <w:bottom w:val="single" w:color="B8862E" w:sz="6" w:space="6"/>
        </w:pBdr>
        <w:spacing w:after="200" w:before="480"/>
      </w:pPr>
      <w:r>
        <w:rPr>
          <w:rFonts w:ascii="Georgia" w:cs="Georgia" w:eastAsia="Georgia" w:hAnsi="Georgia"/>
          <w:b/>
          <w:bCs/>
          <w:color w:val="1B2A4A"/>
          <w:sz w:val="30"/>
          <w:szCs w:val="30"/>
        </w:rPr>
        <w:t xml:space="preserve">8.  </w:t>
      </w:r>
      <w:r>
        <w:rPr>
          <w:rFonts w:ascii="Georgia" w:cs="Georgia" w:eastAsia="Georgia" w:hAnsi="Georgia"/>
          <w:b/>
          <w:bCs/>
          <w:color w:val="1B2A4A"/>
          <w:sz w:val="30"/>
          <w:szCs w:val="30"/>
        </w:rPr>
        <w:t xml:space="preserve">Implementation Roadmap &amp; Risk Management</w:t>
      </w:r>
    </w:p>
    <w:p>
      <w:pPr>
        <w:spacing w:after="160" w:line="276"/>
        <w:jc w:val="both"/>
      </w:pPr>
      <w:r>
        <w:rPr>
          <w:rFonts w:ascii="Calibri" w:cs="Calibri" w:eastAsia="Calibri" w:hAnsi="Calibri"/>
          <w:color w:val="222222"/>
          <w:sz w:val="21"/>
          <w:szCs w:val="21"/>
        </w:rPr>
        <w:t xml:space="preserve">The source proposal lays out a phased, multi-year development plan from land aggregation and regulatory clearance through to a targeted 100 MW campus by Year 7. All timelines below are planning targets and are subject to actual regulatory approval timeframes, financing closure, construction performance, and market conditions.</w:t>
      </w:r>
    </w:p>
    <w:p>
      <w:pPr>
        <w:pStyle w:val="Heading2"/>
        <w:spacing w:after="140" w:before="320"/>
      </w:pPr>
      <w:r>
        <w:rPr>
          <w:rFonts w:ascii="Calibri" w:cs="Calibri" w:eastAsia="Calibri" w:hAnsi="Calibri"/>
          <w:b/>
          <w:bCs/>
          <w:color w:val="1B2A4A"/>
          <w:sz w:val="24"/>
          <w:szCs w:val="24"/>
        </w:rPr>
        <w:t xml:space="preserve">8.1 Phased Roadmap (as proposed)</w:t>
      </w:r>
    </w:p>
    <w:tbl>
      <w:tblPr>
        <w:tblW w:type="dxa" w:w="9360"/>
        <w:tblBorders>
          <w:top w:val="single" w:color="CFCFCF" w:sz="2"/>
          <w:left w:val="single" w:color="CFCFCF" w:sz="2"/>
          <w:bottom w:val="single" w:color="CFCFCF" w:sz="2"/>
          <w:right w:val="single" w:color="CFCFCF" w:sz="2"/>
          <w:insideH w:val="single" w:color="CFCFCF" w:sz="2"/>
          <w:insideV w:val="single" w:color="CFCFCF" w:sz="2"/>
        </w:tblBorders>
      </w:tblPr>
      <w:tblGrid>
        <w:gridCol w:w="1300"/>
        <w:gridCol w:w="1800"/>
        <w:gridCol w:w="6260"/>
      </w:tblGrid>
      <w:tr>
        <w:trPr>
          <w:tblHeader/>
        </w:trPr>
        <w:tc>
          <w:tcPr>
            <w:tcW w:type="dxa" w:w="130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Phase</w:t>
            </w:r>
          </w:p>
        </w:tc>
        <w:tc>
          <w:tcPr>
            <w:tcW w:type="dxa" w:w="180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Indicative Timeline</w:t>
            </w:r>
          </w:p>
        </w:tc>
        <w:tc>
          <w:tcPr>
            <w:tcW w:type="dxa" w:w="626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Key Activities (as proposed)</w:t>
            </w:r>
          </w:p>
        </w:tc>
      </w:tr>
      <w:tr>
        <w:tc>
          <w:tcPr>
            <w:tcW w:type="dxa" w:w="13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Phase 0</w:t>
            </w:r>
          </w:p>
        </w:tc>
        <w:tc>
          <w:tcPr>
            <w:tcW w:type="dxa" w:w="18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Months 1-3</w:t>
            </w:r>
          </w:p>
        </w:tc>
        <w:tc>
          <w:tcPr>
            <w:tcW w:type="dxa" w:w="62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Land aggregation; TS-iPASS clearance; MeitY application</w:t>
            </w:r>
          </w:p>
        </w:tc>
      </w:tr>
      <w:tr>
        <w:tc>
          <w:tcPr>
            <w:tcW w:type="dxa" w:w="13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Phase 1A</w:t>
            </w:r>
          </w:p>
        </w:tc>
        <w:tc>
          <w:tcPr>
            <w:tcW w:type="dxa" w:w="18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Months 4-9</w:t>
            </w:r>
          </w:p>
        </w:tc>
        <w:tc>
          <w:tcPr>
            <w:tcW w:type="dxa" w:w="62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220kV substation; fibre ducting; road access; water treatment</w:t>
            </w:r>
          </w:p>
        </w:tc>
      </w:tr>
      <w:tr>
        <w:tc>
          <w:tcPr>
            <w:tcW w:type="dxa" w:w="13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Phase 1B</w:t>
            </w:r>
          </w:p>
        </w:tc>
        <w:tc>
          <w:tcPr>
            <w:tcW w:type="dxa" w:w="18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Months 10-18</w:t>
            </w:r>
          </w:p>
        </w:tc>
        <w:tc>
          <w:tcPr>
            <w:tcW w:type="dxa" w:w="62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DC Hall 1 (10 MW); cooling installation; NOC building</w:t>
            </w:r>
          </w:p>
        </w:tc>
      </w:tr>
      <w:tr>
        <w:tc>
          <w:tcPr>
            <w:tcW w:type="dxa" w:w="13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Phase 1C</w:t>
            </w:r>
          </w:p>
        </w:tc>
        <w:tc>
          <w:tcPr>
            <w:tcW w:type="dxa" w:w="18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Months 19-24</w:t>
            </w:r>
          </w:p>
        </w:tc>
        <w:tc>
          <w:tcPr>
            <w:tcW w:type="dxa" w:w="62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Hall 1 commissioning; Tier III certification; first tenant onboarding</w:t>
            </w:r>
          </w:p>
        </w:tc>
      </w:tr>
      <w:tr>
        <w:tc>
          <w:tcPr>
            <w:tcW w:type="dxa" w:w="13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Phase 2A</w:t>
            </w:r>
          </w:p>
        </w:tc>
        <w:tc>
          <w:tcPr>
            <w:tcW w:type="dxa" w:w="18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Year 3</w:t>
            </w:r>
          </w:p>
        </w:tc>
        <w:tc>
          <w:tcPr>
            <w:tcW w:type="dxa" w:w="62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DC Hall 2 (10 MW); solar farm expansion; cited revenue INR 175 Cr</w:t>
            </w:r>
          </w:p>
        </w:tc>
      </w:tr>
      <w:tr>
        <w:tc>
          <w:tcPr>
            <w:tcW w:type="dxa" w:w="13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Phase 2B</w:t>
            </w:r>
          </w:p>
        </w:tc>
        <w:tc>
          <w:tcPr>
            <w:tcW w:type="dxa" w:w="18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Year 4-5</w:t>
            </w:r>
          </w:p>
        </w:tc>
        <w:tc>
          <w:tcPr>
            <w:tcW w:type="dxa" w:w="62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DC Hall 3 (30 MW AI); liquid cooling deployment; cited revenue INR 510 Cr</w:t>
            </w:r>
          </w:p>
        </w:tc>
      </w:tr>
      <w:tr>
        <w:tc>
          <w:tcPr>
            <w:tcW w:type="dxa" w:w="13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Phase 3</w:t>
            </w:r>
          </w:p>
        </w:tc>
        <w:tc>
          <w:tcPr>
            <w:tcW w:type="dxa" w:w="18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Year 6-7</w:t>
            </w:r>
          </w:p>
        </w:tc>
        <w:tc>
          <w:tcPr>
            <w:tcW w:type="dxa" w:w="62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Campus expansion to 100 MW; submarine cable PoP; cited revenue INR 1,200 Cr</w:t>
            </w:r>
          </w:p>
        </w:tc>
      </w:tr>
    </w:tbl>
    <w:p>
      <w:pPr>
        <w:spacing w:after="160" w:line="276"/>
        <w:jc w:val="both"/>
      </w:pPr>
      <w:r>
        <w:rPr>
          <w:rFonts w:ascii="Calibri" w:cs="Calibri" w:eastAsia="Calibri" w:hAnsi="Calibri"/>
          <w:color w:val="222222"/>
          <w:sz w:val="21"/>
          <w:szCs w:val="21"/>
        </w:rPr>
        <w:t xml:space="preserve">Note (from source proposal): Phase 1C is cited as marking first revenue generation with DC Hall 1 commissioning; full 50 MW capacity is targeted by Year 5 with Phase 2B; expansion to 100 MW is planned for Year 6-7 alongside submarine cable Point-of-Presence integration.</w:t>
      </w:r>
    </w:p>
    <w:p>
      <w:pPr>
        <w:pStyle w:val="Heading2"/>
        <w:spacing w:after="140" w:before="320"/>
      </w:pPr>
      <w:r>
        <w:rPr>
          <w:rFonts w:ascii="Calibri" w:cs="Calibri" w:eastAsia="Calibri" w:hAnsi="Calibri"/>
          <w:b/>
          <w:bCs/>
          <w:color w:val="1B2A4A"/>
          <w:sz w:val="24"/>
          <w:szCs w:val="24"/>
        </w:rPr>
        <w:t xml:space="preserve">8.2 Cited Critical Success Factors</w:t>
      </w:r>
    </w:p>
    <w:p>
      <w:pPr>
        <w:pStyle w:val="ListParagraph"/>
        <w:numPr>
          <w:ilvl w:val="0"/>
          <w:numId w:val="1"/>
        </w:numPr>
        <w:spacing w:after="90" w:line="264"/>
      </w:pPr>
      <w:r>
        <w:rPr>
          <w:rFonts w:ascii="Calibri" w:cs="Calibri" w:eastAsia="Calibri" w:hAnsi="Calibri"/>
          <w:color w:val="222222"/>
          <w:sz w:val="21"/>
          <w:szCs w:val="21"/>
        </w:rPr>
        <w:t xml:space="preserve">Regulatory fast-track: TS-iPASS single window (cited 30-60 days) plus MeitY Specified Data Centre status.</w:t>
      </w:r>
    </w:p>
    <w:p>
      <w:pPr>
        <w:pStyle w:val="ListParagraph"/>
        <w:numPr>
          <w:ilvl w:val="0"/>
          <w:numId w:val="1"/>
        </w:numPr>
        <w:spacing w:after="90" w:line="264"/>
      </w:pPr>
      <w:r>
        <w:rPr>
          <w:rFonts w:ascii="Calibri" w:cs="Calibri" w:eastAsia="Calibri" w:hAnsi="Calibri"/>
          <w:color w:val="222222"/>
          <w:sz w:val="21"/>
          <w:szCs w:val="21"/>
        </w:rPr>
        <w:t xml:space="preserve">Anchor tenant strategy: pre-leasing discussions with defence PSUs and hyperscalers prior to Phase 1 completion.</w:t>
      </w:r>
    </w:p>
    <w:p>
      <w:pPr>
        <w:pStyle w:val="ListParagraph"/>
        <w:numPr>
          <w:ilvl w:val="0"/>
          <w:numId w:val="1"/>
        </w:numPr>
        <w:spacing w:after="90" w:line="264"/>
      </w:pPr>
      <w:r>
        <w:rPr>
          <w:rFonts w:ascii="Calibri" w:cs="Calibri" w:eastAsia="Calibri" w:hAnsi="Calibri"/>
          <w:color w:val="222222"/>
          <w:sz w:val="21"/>
          <w:szCs w:val="21"/>
        </w:rPr>
        <w:t xml:space="preserve">Infrastructure financing: financial closure with infrastructure lenders targeted by Month 6.</w:t>
      </w:r>
    </w:p>
    <w:p>
      <w:pPr>
        <w:pStyle w:val="Heading2"/>
        <w:spacing w:after="140" w:before="320"/>
      </w:pPr>
      <w:r>
        <w:rPr>
          <w:rFonts w:ascii="Calibri" w:cs="Calibri" w:eastAsia="Calibri" w:hAnsi="Calibri"/>
          <w:b/>
          <w:bCs/>
          <w:color w:val="1B2A4A"/>
          <w:sz w:val="24"/>
          <w:szCs w:val="24"/>
        </w:rPr>
        <w:t xml:space="preserve">8.3 Risk Register &amp; Mitigation (as proposed)</w:t>
      </w:r>
    </w:p>
    <w:tbl>
      <w:tblPr>
        <w:tblW w:type="dxa" w:w="9360"/>
        <w:tblBorders>
          <w:top w:val="single" w:color="CFCFCF" w:sz="2"/>
          <w:left w:val="single" w:color="CFCFCF" w:sz="2"/>
          <w:bottom w:val="single" w:color="CFCFCF" w:sz="2"/>
          <w:right w:val="single" w:color="CFCFCF" w:sz="2"/>
          <w:insideH w:val="single" w:color="CFCFCF" w:sz="2"/>
          <w:insideV w:val="single" w:color="CFCFCF" w:sz="2"/>
        </w:tblBorders>
      </w:tblPr>
      <w:tblGrid>
        <w:gridCol w:w="2000"/>
        <w:gridCol w:w="3400"/>
        <w:gridCol w:w="3960"/>
      </w:tblGrid>
      <w:tr>
        <w:trPr>
          <w:tblHeader/>
        </w:trPr>
        <w:tc>
          <w:tcPr>
            <w:tcW w:type="dxa" w:w="200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Risk Category</w:t>
            </w:r>
          </w:p>
        </w:tc>
        <w:tc>
          <w:tcPr>
            <w:tcW w:type="dxa" w:w="340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Risk Description</w:t>
            </w:r>
          </w:p>
        </w:tc>
        <w:tc>
          <w:tcPr>
            <w:tcW w:type="dxa" w:w="396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Proposed Mitigation</w:t>
            </w:r>
          </w:p>
        </w:tc>
      </w:tr>
      <w:tr>
        <w:tc>
          <w:tcPr>
            <w:tcW w:type="dxa" w:w="20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Power Availability</w:t>
            </w:r>
          </w:p>
        </w:tc>
        <w:tc>
          <w:tcPr>
            <w:tcW w:type="dxa" w:w="34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Grid instability or insufficient supply</w:t>
            </w:r>
          </w:p>
        </w:tc>
        <w:tc>
          <w:tcPr>
            <w:tcW w:type="dxa" w:w="39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Dual grid, 7-day diesel backup, 10 MW solar, battery storage</w:t>
            </w:r>
          </w:p>
        </w:tc>
      </w:tr>
      <w:tr>
        <w:tc>
          <w:tcPr>
            <w:tcW w:type="dxa" w:w="20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Water Scarcity</w:t>
            </w:r>
          </w:p>
        </w:tc>
        <w:tc>
          <w:tcPr>
            <w:tcW w:type="dxa" w:w="34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Liquid cooling requires 1.5M+ L/day; drought exposure</w:t>
            </w:r>
          </w:p>
        </w:tc>
        <w:tc>
          <w:tcPr>
            <w:tcW w:type="dxa" w:w="39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Groundwater, rainwater harvesting, recycled water, reservoir</w:t>
            </w:r>
          </w:p>
        </w:tc>
      </w:tr>
      <w:tr>
        <w:tc>
          <w:tcPr>
            <w:tcW w:type="dxa" w:w="20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Regulatory Delay</w:t>
            </w:r>
          </w:p>
        </w:tc>
        <w:tc>
          <w:tcPr>
            <w:tcW w:type="dxa" w:w="34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Approvals and clearance timelines</w:t>
            </w:r>
          </w:p>
        </w:tc>
        <w:tc>
          <w:tcPr>
            <w:tcW w:type="dxa" w:w="39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TS-iPASS single window, pre-approved plans, dedicated liaison</w:t>
            </w:r>
          </w:p>
        </w:tc>
      </w:tr>
      <w:tr>
        <w:tc>
          <w:tcPr>
            <w:tcW w:type="dxa" w:w="20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Tenant Vacancy</w:t>
            </w:r>
          </w:p>
        </w:tc>
        <w:tc>
          <w:tcPr>
            <w:tcW w:type="dxa" w:w="34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Cash-flow strain during ramp-up</w:t>
            </w:r>
          </w:p>
        </w:tc>
        <w:tc>
          <w:tcPr>
            <w:tcW w:type="dxa" w:w="39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Anchor tenant strategy, hyperscale pre-leasing, tax holiday appeal</w:t>
            </w:r>
          </w:p>
        </w:tc>
      </w:tr>
      <w:tr>
        <w:tc>
          <w:tcPr>
            <w:tcW w:type="dxa" w:w="20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Technology Obsolescence</w:t>
            </w:r>
          </w:p>
        </w:tc>
        <w:tc>
          <w:tcPr>
            <w:tcW w:type="dxa" w:w="34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Rapid change in cooling/power/networking tech</w:t>
            </w:r>
          </w:p>
        </w:tc>
        <w:tc>
          <w:tcPr>
            <w:tcW w:type="dxa" w:w="39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Modular design, hot-swappable infrastructure, refresh fund</w:t>
            </w:r>
          </w:p>
        </w:tc>
      </w:tr>
      <w:tr>
        <w:tc>
          <w:tcPr>
            <w:tcW w:type="dxa" w:w="20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Tax Policy Change</w:t>
            </w:r>
          </w:p>
        </w:tc>
        <w:tc>
          <w:tcPr>
            <w:tcW w:type="dxa" w:w="34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Future modification of incentive structures</w:t>
            </w:r>
          </w:p>
        </w:tc>
        <w:tc>
          <w:tcPr>
            <w:tcW w:type="dxa" w:w="39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Lock-in agreements, grandfathering provisions, revenue diversification</w:t>
            </w:r>
          </w:p>
        </w:tc>
      </w:tr>
    </w:tbl>
    <w:p>
      <w:pPr>
        <w:spacing w:after="160" w:line="276"/>
        <w:jc w:val="both"/>
      </w:pPr>
      <w:r>
        <w:rPr>
          <w:rFonts w:ascii="Calibri" w:cs="Calibri" w:eastAsia="Calibri" w:hAnsi="Calibri"/>
          <w:color w:val="222222"/>
          <w:sz w:val="21"/>
          <w:szCs w:val="21"/>
        </w:rPr>
        <w:t xml:space="preserve">The source proposal characterises mitigation effectiveness as exceeding risk impact across all six categories, with power and water mitigation cited as strongest (90% and 88% respectively) and tax-policy risk cited as hardest to fully mitigate (55% effectiveness). These are qualitative, self-assessed scores from the source proposal and should not be treated as an independent risk assessment.</w:t>
      </w:r>
    </w:p>
    <w:p>
      <w:pPr>
        <w:spacing w:after="200" w:before="60"/>
      </w:pPr>
      <w:r>
        <w:rPr>
          <w:rFonts w:ascii="Calibri" w:cs="Calibri" w:eastAsia="Calibri" w:hAnsi="Calibri"/>
          <w:i/>
          <w:iCs/>
          <w:color w:val="6E6E6E"/>
          <w:sz w:val="16"/>
          <w:szCs w:val="16"/>
        </w:rPr>
        <w:t xml:space="preserve">Source: Sri Sri Aparanji AI Data Centre Proposal, Risk Mitigation Section</w:t>
      </w:r>
    </w:p>
    <w:p>
      <w:r>
        <w:br w:type="page"/>
      </w:r>
    </w:p>
    <w:p>
      <w:pPr>
        <w:pStyle w:val="Heading1"/>
        <w:pBdr>
          <w:bottom w:val="single" w:color="B8862E" w:sz="6" w:space="6"/>
        </w:pBdr>
        <w:spacing w:after="200" w:before="480"/>
      </w:pPr>
      <w:r>
        <w:rPr>
          <w:rFonts w:ascii="Georgia" w:cs="Georgia" w:eastAsia="Georgia" w:hAnsi="Georgia"/>
          <w:b/>
          <w:bCs/>
          <w:color w:val="1B2A4A"/>
          <w:sz w:val="30"/>
          <w:szCs w:val="30"/>
        </w:rPr>
        <w:t xml:space="preserve">9.  </w:t>
      </w:r>
      <w:r>
        <w:rPr>
          <w:rFonts w:ascii="Georgia" w:cs="Georgia" w:eastAsia="Georgia" w:hAnsi="Georgia"/>
          <w:b/>
          <w:bCs/>
          <w:color w:val="1B2A4A"/>
          <w:sz w:val="30"/>
          <w:szCs w:val="30"/>
        </w:rPr>
        <w:t xml:space="preserve">Recommended Next Steps</w:t>
      </w:r>
    </w:p>
    <w:p>
      <w:pPr>
        <w:spacing w:after="160" w:line="276"/>
        <w:jc w:val="both"/>
      </w:pPr>
      <w:r>
        <w:rPr>
          <w:rFonts w:ascii="Calibri" w:cs="Calibri" w:eastAsia="Calibri" w:hAnsi="Calibri"/>
          <w:color w:val="222222"/>
          <w:sz w:val="21"/>
          <w:szCs w:val="21"/>
        </w:rPr>
        <w:t xml:space="preserve">The source proposal outlines an initial sequence of actions intended to advance the project from concept to financial closure. These are presented as proposed next steps for discussion, not as commitments, approvals, or contractual undertakings.</w:t>
      </w:r>
    </w:p>
    <w:tbl>
      <w:tblPr>
        <w:tblW w:type="dxa" w:w="9360"/>
        <w:tblBorders>
          <w:top w:val="single" w:color="CFCFCF" w:sz="2"/>
          <w:left w:val="single" w:color="CFCFCF" w:sz="2"/>
          <w:bottom w:val="single" w:color="CFCFCF" w:sz="2"/>
          <w:right w:val="single" w:color="CFCFCF" w:sz="2"/>
          <w:insideH w:val="single" w:color="CFCFCF" w:sz="2"/>
          <w:insideV w:val="single" w:color="CFCFCF" w:sz="2"/>
        </w:tblBorders>
      </w:tblPr>
      <w:tblGrid>
        <w:gridCol w:w="900"/>
        <w:gridCol w:w="1900"/>
        <w:gridCol w:w="6560"/>
      </w:tblGrid>
      <w:tr>
        <w:trPr>
          <w:tblHeader/>
        </w:trPr>
        <w:tc>
          <w:tcPr>
            <w:tcW w:type="dxa" w:w="90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Step</w:t>
            </w:r>
          </w:p>
        </w:tc>
        <w:tc>
          <w:tcPr>
            <w:tcW w:type="dxa" w:w="190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Indicative Timing</w:t>
            </w:r>
          </w:p>
        </w:tc>
        <w:tc>
          <w:tcPr>
            <w:tcW w:type="dxa" w:w="6560"/>
            <w:shd w:fill="1B2A4A" w:val="clear"/>
            <w:tcMar>
              <w:top w:type="dxa" w:w="80"/>
              <w:left w:type="dxa" w:w="100"/>
              <w:bottom w:type="dxa" w:w="80"/>
              <w:right w:type="dxa" w:w="100"/>
            </w:tcMar>
            <w:vAlign w:val="center"/>
          </w:tcPr>
          <w:p>
            <w:pPr>
              <w:spacing w:after="40" w:before="40"/>
            </w:pPr>
            <w:r>
              <w:rPr>
                <w:rFonts w:ascii="Calibri" w:cs="Calibri" w:eastAsia="Calibri" w:hAnsi="Calibri"/>
                <w:b/>
                <w:bCs/>
                <w:color w:val="FFFFFF"/>
                <w:sz w:val="18"/>
                <w:szCs w:val="18"/>
              </w:rPr>
              <w:t xml:space="preserve">Action (as proposed)</w:t>
            </w:r>
          </w:p>
        </w:tc>
      </w:tr>
      <w:tr>
        <w:tc>
          <w:tcPr>
            <w:tcW w:type="dxa" w:w="9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1</w:t>
            </w:r>
          </w:p>
        </w:tc>
        <w:tc>
          <w:tcPr>
            <w:tcW w:type="dxa" w:w="19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Immediate</w:t>
            </w:r>
          </w:p>
        </w:tc>
        <w:tc>
          <w:tcPr>
            <w:tcW w:type="dxa" w:w="65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Apply for TS-iPASS single window clearance under Telangana Data Centre Policy</w:t>
            </w:r>
          </w:p>
        </w:tc>
      </w:tr>
      <w:tr>
        <w:tc>
          <w:tcPr>
            <w:tcW w:type="dxa" w:w="9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2</w:t>
            </w:r>
          </w:p>
        </w:tc>
        <w:tc>
          <w:tcPr>
            <w:tcW w:type="dxa" w:w="19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Month 1</w:t>
            </w:r>
          </w:p>
        </w:tc>
        <w:tc>
          <w:tcPr>
            <w:tcW w:type="dxa" w:w="65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Submit application to MeitY for "Specified Data Centre" status</w:t>
            </w:r>
          </w:p>
        </w:tc>
      </w:tr>
      <w:tr>
        <w:tc>
          <w:tcPr>
            <w:tcW w:type="dxa" w:w="9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3</w:t>
            </w:r>
          </w:p>
        </w:tc>
        <w:tc>
          <w:tcPr>
            <w:tcW w:type="dxa" w:w="19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Month 2</w:t>
            </w:r>
          </w:p>
        </w:tc>
        <w:tc>
          <w:tcPr>
            <w:tcW w:type="dxa" w:w="65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Engage TSGENCO for dual 220kV substation feasibility and power allocation</w:t>
            </w:r>
          </w:p>
        </w:tc>
      </w:tr>
      <w:tr>
        <w:tc>
          <w:tcPr>
            <w:tcW w:type="dxa" w:w="9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4</w:t>
            </w:r>
          </w:p>
        </w:tc>
        <w:tc>
          <w:tcPr>
            <w:tcW w:type="dxa" w:w="190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Month 3</w:t>
            </w:r>
          </w:p>
        </w:tc>
        <w:tc>
          <w:tcPr>
            <w:tcW w:type="dxa" w:w="6560"/>
            <w:shd w:fill="F2F2F2" w:val="clear"/>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Initiate pre-leasing discussions with hyperscalers and defence PSUs</w:t>
            </w:r>
          </w:p>
        </w:tc>
      </w:tr>
      <w:tr>
        <w:tc>
          <w:tcPr>
            <w:tcW w:type="dxa" w:w="9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5</w:t>
            </w:r>
          </w:p>
        </w:tc>
        <w:tc>
          <w:tcPr>
            <w:tcW w:type="dxa" w:w="190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Month 6</w:t>
            </w:r>
          </w:p>
        </w:tc>
        <w:tc>
          <w:tcPr>
            <w:tcW w:type="dxa" w:w="6560"/>
            <w:tcMar>
              <w:top w:type="dxa" w:w="70"/>
              <w:left w:type="dxa" w:w="100"/>
              <w:bottom w:type="dxa" w:w="70"/>
              <w:right w:type="dxa" w:w="100"/>
            </w:tcMar>
            <w:vAlign w:val="center"/>
          </w:tcPr>
          <w:p>
            <w:pPr>
              <w:spacing w:after="40" w:before="40"/>
            </w:pPr>
            <w:r>
              <w:rPr>
                <w:rFonts w:ascii="Calibri" w:cs="Calibri" w:eastAsia="Calibri" w:hAnsi="Calibri"/>
                <w:color w:val="222222"/>
                <w:sz w:val="18"/>
                <w:szCs w:val="18"/>
              </w:rPr>
              <w:t xml:space="preserve">Pursue financial closure with infrastructure lenders</w:t>
            </w:r>
          </w:p>
        </w:tc>
      </w:tr>
    </w:tbl>
    <w:p>
      <w:pPr>
        <w:pStyle w:val="Heading1"/>
        <w:pBdr>
          <w:bottom w:val="single" w:color="B8862E" w:sz="6" w:space="6"/>
        </w:pBdr>
        <w:spacing w:after="200" w:before="480"/>
      </w:pPr>
      <w:r>
        <w:rPr>
          <w:rFonts w:ascii="Georgia" w:cs="Georgia" w:eastAsia="Georgia" w:hAnsi="Georgia"/>
          <w:b/>
          <w:bCs/>
          <w:color w:val="1B2A4A"/>
          <w:sz w:val="30"/>
          <w:szCs w:val="30"/>
        </w:rPr>
        <w:t xml:space="preserve">10.  </w:t>
      </w:r>
      <w:r>
        <w:rPr>
          <w:rFonts w:ascii="Georgia" w:cs="Georgia" w:eastAsia="Georgia" w:hAnsi="Georgia"/>
          <w:b/>
          <w:bCs/>
          <w:color w:val="1B2A4A"/>
          <w:sz w:val="30"/>
          <w:szCs w:val="30"/>
        </w:rPr>
        <w:t xml:space="preserve">Conclusion</w:t>
      </w:r>
    </w:p>
    <w:p>
      <w:pPr>
        <w:spacing w:after="160" w:line="276"/>
        <w:jc w:val="both"/>
      </w:pPr>
      <w:r>
        <w:rPr>
          <w:rFonts w:ascii="Calibri" w:cs="Calibri" w:eastAsia="Calibri" w:hAnsi="Calibri"/>
          <w:color w:val="222222"/>
          <w:sz w:val="21"/>
          <w:szCs w:val="21"/>
        </w:rPr>
        <w:t xml:space="preserve">As presented in the source strategic investment proposal, the Sri Sri Aparanji AI Data Centre Campus is positioned as a large-scale, phased data centre development intended to benefit from India's growing data centre and AI compute demand, Telangana's stated policy support, and site-specific advantages around land cost, water access, and proximity to a defence and IT ecosystem. The financial and technical targets described — including the 18-22% projected IRR, sub-1.3 PUE, and phased build to 50-100 MW — represent the sponsor's own estimates and design intentions.</w:t>
      </w:r>
    </w:p>
    <w:p>
      <w:pPr>
        <w:spacing w:after="160" w:line="276"/>
        <w:jc w:val="both"/>
      </w:pPr>
      <w:r>
        <w:rPr>
          <w:rFonts w:ascii="Calibri" w:cs="Calibri" w:eastAsia="Calibri" w:hAnsi="Calibri"/>
          <w:color w:val="222222"/>
          <w:sz w:val="21"/>
          <w:szCs w:val="21"/>
        </w:rPr>
        <w:t xml:space="preserve">Before this project proceeds to binding commitments, financing, construction, or regulatory filing, all figures, technical specifications, legal characterisations, and tax positions in this report should be independently verified by qualified engineers, surveyors, chartered accountants, tax advisors, and legal counsel, as reiterated in the Legal Disclaimer at the front and end of this report.</w:t>
      </w:r>
    </w:p>
    <w:p>
      <w:r>
        <w:br w:type="page"/>
      </w:r>
    </w:p>
    <w:p>
      <w:pPr>
        <w:pStyle w:val="Heading1"/>
        <w:spacing w:after="200" w:before="0"/>
      </w:pPr>
      <w:r>
        <w:rPr>
          <w:rFonts w:ascii="Georgia" w:cs="Georgia" w:eastAsia="Georgia" w:hAnsi="Georgia"/>
          <w:b/>
          <w:bCs/>
          <w:color w:val="1B2A4A"/>
          <w:sz w:val="30"/>
          <w:szCs w:val="30"/>
        </w:rPr>
        <w:t xml:space="preserve">Legal Disclaimer (Recap)</w:t>
      </w:r>
    </w:p>
    <w:p>
      <w:pPr>
        <w:spacing w:after="100" w:before="120"/>
      </w:pPr>
      <w:r>
        <w:rPr>
          <w:rFonts w:ascii="Calibri" w:cs="Calibri" w:eastAsia="Calibri" w:hAnsi="Calibri"/>
          <w:b/>
          <w:bCs/>
          <w:color w:val="8A1F1F"/>
          <w:sz w:val="22"/>
          <w:szCs w:val="22"/>
        </w:rPr>
        <w:t xml:space="preserve">Disclaimer</w:t>
      </w:r>
    </w:p>
    <w:p>
      <w:pPr>
        <w:spacing w:after="100" w:line="264"/>
        <w:jc w:val="both"/>
      </w:pPr>
      <w:r>
        <w:rPr>
          <w:rFonts w:ascii="Calibri" w:cs="Calibri" w:eastAsia="Calibri" w:hAnsi="Calibri"/>
          <w:color w:val="222222"/>
          <w:sz w:val="19"/>
          <w:szCs w:val="19"/>
        </w:rPr>
        <w:t xml:space="preserve">This Detailed Project Report ("DPR") has been prepared solely to support general discussion, preliminary evaluation, and internal deliberation regarding the proposed Sri Sri Aparanji AI Data Centre Campus. It is a working document derived from a strategic investment proposal presentation and has not been independently verified, audited, or certified by any qualified surveyor, chartered accountant, tax consultant, legal counsel, or statutory authority.</w:t>
      </w:r>
    </w:p>
    <w:p>
      <w:pPr>
        <w:spacing w:after="100" w:line="264"/>
        <w:jc w:val="both"/>
      </w:pPr>
      <w:r>
        <w:rPr>
          <w:rFonts w:ascii="Calibri" w:cs="Calibri" w:eastAsia="Calibri" w:hAnsi="Calibri"/>
          <w:b/>
          <w:bCs/>
          <w:color w:val="222222"/>
          <w:sz w:val="19"/>
          <w:szCs w:val="19"/>
        </w:rPr>
        <w:t xml:space="preserve">All figures, quantities, costs, capacities, timelines, percentages, IRR/NPV estimates, tax treatments, regulatory characterisations, and other numerical or technical data contained in this report are indicative and illustrative only. They must NOT be relied upon as accurate, final, or actionable for the purpose of investment decisions, financial commitments, project financing, statutory filings, regulatory submissions, engineering design, procurement, or any other legal, financial, tax, or technical work or opinion.</w:t>
      </w:r>
    </w:p>
    <w:p>
      <w:pPr>
        <w:spacing w:after="100" w:line="264"/>
        <w:jc w:val="both"/>
      </w:pPr>
      <w:r>
        <w:rPr>
          <w:rFonts w:ascii="Calibri" w:cs="Calibri" w:eastAsia="Calibri" w:hAnsi="Calibri"/>
          <w:color w:val="222222"/>
          <w:sz w:val="19"/>
          <w:szCs w:val="19"/>
        </w:rPr>
        <w:t xml:space="preserve">This document does not constitute, and should not be construed as, legal, tax, financial, engineering, or investment advice, nor an offer, solicitation, or recommendation to buy, sell, lease, finance, or invest in any asset or security. Readers must commission independent legal opinion, chartered engineering surveys, statutory due diligence, environmental and regulatory clearances, and professional financial/tax advice before undertaking any binding action, transaction, or representation based on this material. Anthropic and Claude played a role in transforming the source presentation into this report format and make no representation as to the accuracy or completeness of the underlying data supplied to them.</w:t>
      </w:r>
    </w:p>
    <w:p>
      <w:pPr>
        <w:spacing w:after="100" w:line="264"/>
        <w:jc w:val="both"/>
      </w:pPr>
      <w:r>
        <w:rPr>
          <w:rFonts w:ascii="Calibri" w:cs="Calibri" w:eastAsia="Calibri" w:hAnsi="Calibri"/>
          <w:color w:val="222222"/>
          <w:sz w:val="19"/>
          <w:szCs w:val="19"/>
        </w:rPr>
        <w:t xml:space="preserve">The preparer(s) and any distributing party expressly disclaim liability for any loss, damage, or claim arising from reliance on the contents of this document. This report is confidential and intended only for the general discussion of the recipient(s); it is not for public distribution.</w:t>
      </w:r>
    </w:p>
    <w:p>
      <w:pPr>
        <w:spacing w:after="120"/>
      </w:pPr>
    </w:p>
    <w:p>
      <w:pPr>
        <w:spacing w:before="200"/>
        <w:jc w:val="center"/>
      </w:pPr>
      <w:r>
        <w:rPr>
          <w:rFonts w:ascii="Calibri" w:cs="Calibri" w:eastAsia="Calibri" w:hAnsi="Calibri"/>
          <w:i/>
          <w:iCs/>
          <w:color w:val="6E6E6E"/>
          <w:sz w:val="18"/>
          <w:szCs w:val="18"/>
        </w:rPr>
        <w:t xml:space="preserve">— End of Detailed Project Report —</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CFCF" w:sz="4" w:space="4"/>
      </w:pBdr>
      <w:jc w:val="center"/>
    </w:pPr>
    <w:r>
      <w:rPr>
        <w:rFonts w:ascii="Calibri" w:cs="Calibri" w:eastAsia="Calibri" w:hAnsi="Calibri"/>
        <w:color w:val="6E6E6E"/>
        <w:sz w:val="15"/>
        <w:szCs w:val="15"/>
      </w:rPr>
      <w:t xml:space="preserve">For general discussion only — not for legal, financial, or technical reliance   |   Page </w:t>
    </w:r>
    <w:r>
      <w:rPr>
        <w:rFonts w:ascii="Calibri" w:cs="Calibri" w:eastAsia="Calibri" w:hAnsi="Calibri"/>
        <w:color w:val="6E6E6E"/>
        <w:sz w:val="15"/>
        <w:szCs w:val="15"/>
      </w:rPr>
      <w:fldChar w:fldCharType="begin"/>
      <w:instrText xml:space="preserve">PAGE</w:instrText>
      <w:fldChar w:fldCharType="separate"/>
      <w:fldChar w:fldCharType="end"/>
    </w:r>
    <w:r>
      <w:rPr>
        <w:rFonts w:ascii="Calibri" w:cs="Calibri" w:eastAsia="Calibri" w:hAnsi="Calibri"/>
        <w:color w:val="6E6E6E"/>
        <w:sz w:val="15"/>
        <w:szCs w:val="15"/>
      </w:rPr>
      <w:t xml:space="preserve"> of </w:t>
    </w:r>
    <w:r>
      <w:rPr>
        <w:rFonts w:ascii="Calibri" w:cs="Calibri" w:eastAsia="Calibri" w:hAnsi="Calibri"/>
        <w:color w:val="6E6E6E"/>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FCFCF" w:sz="4" w:space="4"/>
      </w:pBdr>
      <w:tabs>
        <w:tab w:val="right" w:pos="9026"/>
      </w:tabs>
    </w:pPr>
    <w:r>
      <w:rPr>
        <w:rFonts w:ascii="Calibri" w:cs="Calibri" w:eastAsia="Calibri" w:hAnsi="Calibri"/>
        <w:color w:val="6E6E6E"/>
        <w:sz w:val="15"/>
        <w:szCs w:val="15"/>
      </w:rPr>
      <w:t xml:space="preserve">Sri Sri Aparanji AI Data Centre Campus — Detailed Project Report</w:t>
    </w:r>
    <w:r>
      <w:rPr>
        <w:rFonts w:ascii="Calibri" w:cs="Calibri" w:eastAsia="Calibri" w:hAnsi="Calibri"/>
        <w:color w:val="6E6E6E"/>
        <w:sz w:val="15"/>
        <w:szCs w:val="15"/>
      </w:rPr>
      <w:t xml:space="preserve">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2026-07-11T18:45:23.423Z</dcterms:created>
  <dcterms:modified xsi:type="dcterms:W3CDTF">2026-07-11T18:45:23.445Z</dcterms:modified>
</cp:coreProperties>
</file>

<file path=docProps/custom.xml><?xml version="1.0" encoding="utf-8"?>
<Properties xmlns="http://schemas.openxmlformats.org/officeDocument/2006/custom-properties" xmlns:vt="http://schemas.openxmlformats.org/officeDocument/2006/docPropsVTypes"/>
</file>